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7CE0" w14:textId="77777777" w:rsidR="00FA37D4" w:rsidRPr="00143C92" w:rsidRDefault="00521B9F" w:rsidP="759E10FC">
      <w:pPr>
        <w:spacing w:after="0" w:line="240" w:lineRule="auto"/>
        <w:jc w:val="center"/>
        <w:rPr>
          <w:rFonts w:ascii="Century Gothic" w:hAnsi="Century Gothic" w:cs="Arial"/>
          <w:b/>
          <w:bCs/>
          <w:color w:val="002060"/>
          <w:sz w:val="28"/>
          <w:szCs w:val="28"/>
        </w:rPr>
      </w:pPr>
      <w:r w:rsidRPr="00143C92">
        <w:rPr>
          <w:rFonts w:ascii="Century Gothic" w:hAnsi="Century Gothic" w:cs="Arial"/>
          <w:b/>
          <w:bCs/>
          <w:color w:val="002060"/>
          <w:sz w:val="28"/>
          <w:szCs w:val="28"/>
        </w:rPr>
        <w:t xml:space="preserve">Sample Law School Web Content: </w:t>
      </w:r>
    </w:p>
    <w:p w14:paraId="416D24AA" w14:textId="545A8762" w:rsidR="5E8DD591" w:rsidRPr="00143C92" w:rsidRDefault="5E8DD591" w:rsidP="759E10FC">
      <w:pPr>
        <w:spacing w:after="0" w:line="240" w:lineRule="auto"/>
        <w:jc w:val="center"/>
        <w:rPr>
          <w:rFonts w:ascii="Century Gothic" w:hAnsi="Century Gothic" w:cs="Arial"/>
          <w:b/>
          <w:bCs/>
          <w:color w:val="002060"/>
          <w:sz w:val="28"/>
          <w:szCs w:val="28"/>
        </w:rPr>
      </w:pPr>
      <w:r w:rsidRPr="00143C92">
        <w:rPr>
          <w:rFonts w:ascii="Century Gothic" w:hAnsi="Century Gothic" w:cs="Arial"/>
          <w:b/>
          <w:bCs/>
          <w:color w:val="002060"/>
          <w:sz w:val="28"/>
          <w:szCs w:val="28"/>
        </w:rPr>
        <w:t>About the Bar Exam</w:t>
      </w:r>
      <w:r w:rsidR="00EB640E">
        <w:rPr>
          <w:rFonts w:ascii="Century Gothic" w:hAnsi="Century Gothic" w:cs="Arial"/>
          <w:b/>
          <w:bCs/>
          <w:color w:val="002060"/>
          <w:sz w:val="28"/>
          <w:szCs w:val="28"/>
        </w:rPr>
        <w:t xml:space="preserve"> &amp; MPRE</w:t>
      </w:r>
    </w:p>
    <w:p w14:paraId="5E31ABD8" w14:textId="1BEC1E8F" w:rsidR="759E10FC" w:rsidRPr="00143C92" w:rsidRDefault="759E10FC" w:rsidP="759E10FC">
      <w:pPr>
        <w:spacing w:after="0" w:line="240" w:lineRule="auto"/>
        <w:jc w:val="center"/>
        <w:rPr>
          <w:rFonts w:ascii="Century Gothic" w:hAnsi="Century Gothic" w:cs="Arial"/>
          <w:b/>
          <w:bCs/>
          <w:sz w:val="20"/>
          <w:szCs w:val="20"/>
          <w:u w:val="single"/>
        </w:rPr>
      </w:pPr>
    </w:p>
    <w:p w14:paraId="5F230430" w14:textId="011F7C96" w:rsidR="00FA37D4" w:rsidRPr="00143C92" w:rsidRDefault="3B50D4E2" w:rsidP="00FA37D4">
      <w:pPr>
        <w:spacing w:after="0" w:line="240" w:lineRule="auto"/>
        <w:rPr>
          <w:rFonts w:ascii="Century Gothic" w:hAnsi="Century Gothic" w:cs="Arial"/>
          <w:sz w:val="20"/>
          <w:szCs w:val="20"/>
        </w:rPr>
      </w:pPr>
      <w:r w:rsidRPr="00143C92">
        <w:rPr>
          <w:rFonts w:ascii="Century Gothic" w:hAnsi="Century Gothic" w:cs="Arial"/>
          <w:sz w:val="20"/>
          <w:szCs w:val="20"/>
        </w:rPr>
        <w:t>Over the next several years, the bar exam will change for most US states, territories, and the District of Columbia.</w:t>
      </w:r>
      <w:r w:rsidR="018F7A63" w:rsidRPr="00143C92">
        <w:rPr>
          <w:rFonts w:ascii="Century Gothic" w:hAnsi="Century Gothic" w:cs="Arial"/>
          <w:sz w:val="20"/>
          <w:szCs w:val="20"/>
        </w:rPr>
        <w:t xml:space="preserve"> </w:t>
      </w:r>
      <w:r w:rsidR="00FA37D4" w:rsidRPr="00143C92">
        <w:rPr>
          <w:rFonts w:ascii="Century Gothic" w:hAnsi="Century Gothic" w:cs="Arial"/>
          <w:sz w:val="20"/>
          <w:szCs w:val="20"/>
        </w:rPr>
        <w:t xml:space="preserve">In most jurisdictions, the current bar exam is known as the </w:t>
      </w:r>
      <w:hyperlink r:id="rId7" w:history="1">
        <w:r w:rsidR="00FA37D4" w:rsidRPr="00143C92">
          <w:rPr>
            <w:rStyle w:val="Hyperlink"/>
            <w:rFonts w:ascii="Century Gothic" w:hAnsi="Century Gothic" w:cs="Arial"/>
            <w:sz w:val="20"/>
            <w:szCs w:val="20"/>
          </w:rPr>
          <w:t>Uniform Bar Examination</w:t>
        </w:r>
      </w:hyperlink>
      <w:r w:rsidR="00FA37D4" w:rsidRPr="00143C92">
        <w:rPr>
          <w:rFonts w:ascii="Century Gothic" w:hAnsi="Century Gothic" w:cs="Arial"/>
          <w:sz w:val="20"/>
          <w:szCs w:val="20"/>
        </w:rPr>
        <w:t xml:space="preserve"> (aka the “legacy UBE”). The new bar exam is called the </w:t>
      </w:r>
      <w:hyperlink r:id="rId8" w:history="1">
        <w:r w:rsidR="00FA37D4" w:rsidRPr="00143C92">
          <w:rPr>
            <w:rStyle w:val="Hyperlink"/>
            <w:rFonts w:ascii="Century Gothic" w:hAnsi="Century Gothic" w:cs="Arial"/>
            <w:sz w:val="20"/>
            <w:szCs w:val="20"/>
          </w:rPr>
          <w:t>NextGen UBE</w:t>
        </w:r>
      </w:hyperlink>
      <w:r w:rsidR="00FA37D4" w:rsidRPr="00143C92">
        <w:rPr>
          <w:rFonts w:ascii="Century Gothic" w:hAnsi="Century Gothic" w:cs="Arial"/>
          <w:sz w:val="20"/>
          <w:szCs w:val="20"/>
        </w:rPr>
        <w:t xml:space="preserve">. </w:t>
      </w:r>
      <w:r w:rsidR="00EB640E">
        <w:rPr>
          <w:rFonts w:ascii="Century Gothic" w:hAnsi="Century Gothic" w:cs="Arial"/>
          <w:sz w:val="20"/>
          <w:szCs w:val="20"/>
        </w:rPr>
        <w:t xml:space="preserve">In addition, almost every US jurisdiction requires its applicants to pass the </w:t>
      </w:r>
      <w:hyperlink r:id="rId9" w:history="1">
        <w:r w:rsidR="00EB640E" w:rsidRPr="007332E2">
          <w:rPr>
            <w:rStyle w:val="Hyperlink"/>
            <w:rFonts w:ascii="Century Gothic" w:hAnsi="Century Gothic" w:cs="Arial"/>
            <w:sz w:val="20"/>
            <w:szCs w:val="20"/>
          </w:rPr>
          <w:t>Multistate Professional Responsibility Examination</w:t>
        </w:r>
      </w:hyperlink>
      <w:r w:rsidR="00EB640E">
        <w:rPr>
          <w:rFonts w:ascii="Century Gothic" w:hAnsi="Century Gothic" w:cs="Arial"/>
          <w:sz w:val="20"/>
          <w:szCs w:val="20"/>
        </w:rPr>
        <w:t xml:space="preserve"> (MPRE). </w:t>
      </w:r>
    </w:p>
    <w:p w14:paraId="0CD060BE" w14:textId="77777777" w:rsidR="00FA37D4" w:rsidRPr="00143C92" w:rsidRDefault="00FA37D4" w:rsidP="00521B9F">
      <w:pPr>
        <w:spacing w:after="0" w:line="240" w:lineRule="auto"/>
        <w:rPr>
          <w:rFonts w:ascii="Century Gothic" w:hAnsi="Century Gothic" w:cs="Arial"/>
          <w:sz w:val="20"/>
          <w:szCs w:val="20"/>
        </w:rPr>
      </w:pPr>
    </w:p>
    <w:p w14:paraId="73BA42DE" w14:textId="349328FB" w:rsidR="759E10FC" w:rsidRPr="00143C92" w:rsidRDefault="018F7A63" w:rsidP="00521B9F">
      <w:pPr>
        <w:spacing w:after="0" w:line="240" w:lineRule="auto"/>
        <w:rPr>
          <w:rFonts w:ascii="Century Gothic" w:hAnsi="Century Gothic" w:cs="Arial"/>
          <w:sz w:val="20"/>
          <w:szCs w:val="20"/>
        </w:rPr>
      </w:pPr>
      <w:r w:rsidRPr="00143C92">
        <w:rPr>
          <w:rFonts w:ascii="Century Gothic" w:hAnsi="Century Gothic" w:cs="Arial"/>
          <w:sz w:val="20"/>
          <w:szCs w:val="20"/>
        </w:rPr>
        <w:t xml:space="preserve">This page provides information about </w:t>
      </w:r>
      <w:r w:rsidR="00EB640E">
        <w:rPr>
          <w:rFonts w:ascii="Century Gothic" w:hAnsi="Century Gothic" w:cs="Arial"/>
          <w:sz w:val="20"/>
          <w:szCs w:val="20"/>
        </w:rPr>
        <w:t>the</w:t>
      </w:r>
      <w:r w:rsidR="007332E2">
        <w:rPr>
          <w:rFonts w:ascii="Century Gothic" w:hAnsi="Century Gothic" w:cs="Arial"/>
          <w:sz w:val="20"/>
          <w:szCs w:val="20"/>
        </w:rPr>
        <w:t xml:space="preserve"> MPRE and the</w:t>
      </w:r>
      <w:r w:rsidR="00EB640E">
        <w:rPr>
          <w:rFonts w:ascii="Century Gothic" w:hAnsi="Century Gothic" w:cs="Arial"/>
          <w:sz w:val="20"/>
          <w:szCs w:val="20"/>
        </w:rPr>
        <w:t xml:space="preserve"> legacy-NextGen</w:t>
      </w:r>
      <w:r w:rsidRPr="00143C92">
        <w:rPr>
          <w:rFonts w:ascii="Century Gothic" w:hAnsi="Century Gothic" w:cs="Arial"/>
          <w:sz w:val="20"/>
          <w:szCs w:val="20"/>
        </w:rPr>
        <w:t xml:space="preserve"> transition</w:t>
      </w:r>
      <w:r w:rsidR="00EB640E">
        <w:rPr>
          <w:rFonts w:ascii="Century Gothic" w:hAnsi="Century Gothic" w:cs="Arial"/>
          <w:sz w:val="20"/>
          <w:szCs w:val="20"/>
        </w:rPr>
        <w:t xml:space="preserve"> </w:t>
      </w:r>
      <w:r w:rsidR="007332E2">
        <w:rPr>
          <w:rFonts w:ascii="Century Gothic" w:hAnsi="Century Gothic" w:cs="Arial"/>
          <w:sz w:val="20"/>
          <w:szCs w:val="20"/>
        </w:rPr>
        <w:t xml:space="preserve">for </w:t>
      </w:r>
      <w:r w:rsidRPr="00143C92">
        <w:rPr>
          <w:rFonts w:ascii="Century Gothic" w:hAnsi="Century Gothic" w:cs="Arial"/>
          <w:sz w:val="20"/>
          <w:szCs w:val="20"/>
        </w:rPr>
        <w:t xml:space="preserve">students </w:t>
      </w:r>
      <w:r w:rsidR="00521B9F" w:rsidRPr="00143C92">
        <w:rPr>
          <w:rFonts w:ascii="Century Gothic" w:hAnsi="Century Gothic" w:cs="Arial"/>
          <w:sz w:val="20"/>
          <w:szCs w:val="20"/>
        </w:rPr>
        <w:t xml:space="preserve">and alumni </w:t>
      </w:r>
      <w:r w:rsidR="515E77BB" w:rsidRPr="00143C92">
        <w:rPr>
          <w:rFonts w:ascii="Century Gothic" w:hAnsi="Century Gothic" w:cs="Arial"/>
          <w:sz w:val="20"/>
          <w:szCs w:val="20"/>
        </w:rPr>
        <w:t>who intend to sit for the bar exam between July 2026 and February 2028.</w:t>
      </w:r>
      <w:r w:rsidR="0096409C" w:rsidRPr="00143C92">
        <w:rPr>
          <w:rFonts w:ascii="Century Gothic" w:hAnsi="Century Gothic" w:cs="Arial"/>
          <w:sz w:val="20"/>
          <w:szCs w:val="20"/>
        </w:rPr>
        <w:t xml:space="preserve"> </w:t>
      </w:r>
      <w:r w:rsidR="00143C92" w:rsidRPr="00143C92">
        <w:rPr>
          <w:rFonts w:ascii="Century Gothic" w:hAnsi="Century Gothic" w:cs="Arial"/>
          <w:sz w:val="20"/>
          <w:szCs w:val="20"/>
        </w:rPr>
        <w:t>Regardless of</w:t>
      </w:r>
      <w:r w:rsidR="0096409C" w:rsidRPr="00143C92">
        <w:rPr>
          <w:rFonts w:ascii="Century Gothic" w:hAnsi="Century Gothic" w:cs="Arial"/>
          <w:sz w:val="20"/>
          <w:szCs w:val="20"/>
        </w:rPr>
        <w:t xml:space="preserve"> if which exam you will take, we encourage you to meet with our school’s </w:t>
      </w:r>
      <w:r w:rsidR="0096409C" w:rsidRPr="00143C92">
        <w:rPr>
          <w:rFonts w:ascii="Century Gothic" w:hAnsi="Century Gothic" w:cs="Arial"/>
          <w:sz w:val="20"/>
          <w:szCs w:val="20"/>
          <w:highlight w:val="yellow"/>
        </w:rPr>
        <w:t>[academic support/bar success]</w:t>
      </w:r>
      <w:r w:rsidR="0096409C" w:rsidRPr="00143C92">
        <w:rPr>
          <w:rFonts w:ascii="Century Gothic" w:hAnsi="Century Gothic" w:cs="Arial"/>
          <w:sz w:val="20"/>
          <w:szCs w:val="20"/>
        </w:rPr>
        <w:t xml:space="preserve"> staff for additional information and guidance.</w:t>
      </w:r>
    </w:p>
    <w:p w14:paraId="33341F61" w14:textId="7687F4B6" w:rsidR="759E10FC" w:rsidRPr="00143C92" w:rsidRDefault="759E10FC" w:rsidP="4B831A8D">
      <w:pPr>
        <w:spacing w:after="0" w:line="240" w:lineRule="auto"/>
        <w:rPr>
          <w:rFonts w:ascii="Century Gothic" w:hAnsi="Century Gothic" w:cs="Arial"/>
          <w:sz w:val="20"/>
          <w:szCs w:val="20"/>
        </w:rPr>
      </w:pPr>
    </w:p>
    <w:p w14:paraId="7643902D" w14:textId="389BEDB1" w:rsidR="759E10FC" w:rsidRPr="00143C92" w:rsidRDefault="2E961B04" w:rsidP="4B831A8D">
      <w:pPr>
        <w:spacing w:after="0" w:line="240" w:lineRule="auto"/>
        <w:rPr>
          <w:rFonts w:ascii="Century Gothic" w:hAnsi="Century Gothic" w:cs="Arial"/>
          <w:b/>
          <w:bCs/>
          <w:color w:val="0070C0"/>
          <w:sz w:val="20"/>
          <w:szCs w:val="20"/>
        </w:rPr>
      </w:pPr>
      <w:commentRangeStart w:id="0"/>
      <w:r w:rsidRPr="00143C92">
        <w:rPr>
          <w:rFonts w:ascii="Century Gothic" w:hAnsi="Century Gothic" w:cs="Arial"/>
          <w:b/>
          <w:bCs/>
          <w:color w:val="0070C0"/>
          <w:sz w:val="20"/>
          <w:szCs w:val="20"/>
        </w:rPr>
        <w:t xml:space="preserve">In </w:t>
      </w:r>
      <w:r w:rsidR="4B1507C5" w:rsidRPr="00143C92">
        <w:rPr>
          <w:rFonts w:ascii="Century Gothic" w:hAnsi="Century Gothic" w:cs="Arial"/>
          <w:b/>
          <w:bCs/>
          <w:color w:val="0070C0"/>
          <w:sz w:val="20"/>
          <w:szCs w:val="20"/>
          <w:highlight w:val="yellow"/>
        </w:rPr>
        <w:t>JX NAME</w:t>
      </w:r>
      <w:r w:rsidRPr="00143C92">
        <w:rPr>
          <w:rFonts w:ascii="Century Gothic" w:hAnsi="Century Gothic" w:cs="Arial"/>
          <w:b/>
          <w:bCs/>
          <w:color w:val="0070C0"/>
          <w:sz w:val="20"/>
          <w:szCs w:val="20"/>
        </w:rPr>
        <w:t xml:space="preserve">: </w:t>
      </w:r>
      <w:commentRangeEnd w:id="0"/>
      <w:r w:rsidR="00521B9F" w:rsidRPr="00143C92">
        <w:rPr>
          <w:rStyle w:val="CommentReference"/>
          <w:rFonts w:ascii="Century Gothic" w:hAnsi="Century Gothic"/>
        </w:rPr>
        <w:commentReference w:id="0"/>
      </w:r>
    </w:p>
    <w:p w14:paraId="08A96956" w14:textId="1863BDB3" w:rsidR="759E10FC" w:rsidRPr="00143C92" w:rsidRDefault="2E961B04" w:rsidP="4B831A8D">
      <w:pPr>
        <w:spacing w:after="0" w:line="240" w:lineRule="auto"/>
        <w:rPr>
          <w:rFonts w:ascii="Century Gothic" w:hAnsi="Century Gothic" w:cs="Arial"/>
          <w:sz w:val="20"/>
          <w:szCs w:val="20"/>
        </w:rPr>
      </w:pPr>
      <w:r w:rsidRPr="00143C92">
        <w:rPr>
          <w:rFonts w:ascii="Century Gothic" w:hAnsi="Century Gothic" w:cs="Arial"/>
          <w:sz w:val="20"/>
          <w:szCs w:val="20"/>
        </w:rPr>
        <w:t xml:space="preserve">Final administration of the legacy UBE: </w:t>
      </w:r>
      <w:r w:rsidRPr="00143C92">
        <w:rPr>
          <w:rFonts w:ascii="Century Gothic" w:hAnsi="Century Gothic" w:cs="Arial"/>
          <w:sz w:val="20"/>
          <w:szCs w:val="20"/>
          <w:highlight w:val="yellow"/>
        </w:rPr>
        <w:t>DATE</w:t>
      </w:r>
    </w:p>
    <w:p w14:paraId="7F67A580" w14:textId="5F97E01B" w:rsidR="2E961B04" w:rsidRPr="00143C92" w:rsidRDefault="2E961B04" w:rsidP="4B831A8D">
      <w:pPr>
        <w:spacing w:after="0" w:line="240" w:lineRule="auto"/>
        <w:rPr>
          <w:rFonts w:ascii="Century Gothic" w:hAnsi="Century Gothic" w:cs="Arial"/>
          <w:sz w:val="20"/>
          <w:szCs w:val="20"/>
        </w:rPr>
      </w:pPr>
      <w:r w:rsidRPr="00143C92">
        <w:rPr>
          <w:rFonts w:ascii="Century Gothic" w:hAnsi="Century Gothic" w:cs="Arial"/>
          <w:sz w:val="20"/>
          <w:szCs w:val="20"/>
        </w:rPr>
        <w:t xml:space="preserve">First administration of the NextGen UBE: </w:t>
      </w:r>
      <w:r w:rsidRPr="00143C92">
        <w:rPr>
          <w:rFonts w:ascii="Century Gothic" w:hAnsi="Century Gothic" w:cs="Arial"/>
          <w:sz w:val="20"/>
          <w:szCs w:val="20"/>
          <w:highlight w:val="yellow"/>
        </w:rPr>
        <w:t>DATE</w:t>
      </w:r>
    </w:p>
    <w:p w14:paraId="3D2CED64" w14:textId="77777777" w:rsidR="00521B9F" w:rsidRPr="00143C92" w:rsidRDefault="00521B9F" w:rsidP="4B831A8D">
      <w:pPr>
        <w:spacing w:after="0" w:line="240" w:lineRule="auto"/>
        <w:rPr>
          <w:rFonts w:ascii="Century Gothic" w:hAnsi="Century Gothic" w:cs="Arial"/>
          <w:sz w:val="20"/>
          <w:szCs w:val="20"/>
        </w:rPr>
      </w:pPr>
    </w:p>
    <w:p w14:paraId="7B3993F3" w14:textId="77777777" w:rsidR="00521B9F" w:rsidRPr="00143C92" w:rsidRDefault="00521B9F" w:rsidP="00521B9F">
      <w:pPr>
        <w:spacing w:after="0" w:line="240" w:lineRule="auto"/>
        <w:rPr>
          <w:rFonts w:ascii="Century Gothic" w:hAnsi="Century Gothic" w:cs="Arial"/>
          <w:b/>
          <w:bCs/>
          <w:color w:val="0070C0"/>
          <w:sz w:val="20"/>
          <w:szCs w:val="20"/>
        </w:rPr>
      </w:pPr>
      <w:commentRangeStart w:id="1"/>
      <w:r w:rsidRPr="00143C92">
        <w:rPr>
          <w:rFonts w:ascii="Century Gothic" w:hAnsi="Century Gothic" w:cs="Arial"/>
          <w:b/>
          <w:bCs/>
          <w:color w:val="0070C0"/>
          <w:sz w:val="20"/>
          <w:szCs w:val="20"/>
        </w:rPr>
        <w:t xml:space="preserve">In </w:t>
      </w:r>
      <w:r w:rsidRPr="00143C92">
        <w:rPr>
          <w:rFonts w:ascii="Century Gothic" w:hAnsi="Century Gothic" w:cs="Arial"/>
          <w:b/>
          <w:bCs/>
          <w:color w:val="0070C0"/>
          <w:sz w:val="20"/>
          <w:szCs w:val="20"/>
          <w:highlight w:val="yellow"/>
        </w:rPr>
        <w:t>JX NAME</w:t>
      </w:r>
      <w:r w:rsidRPr="00143C92">
        <w:rPr>
          <w:rFonts w:ascii="Century Gothic" w:hAnsi="Century Gothic" w:cs="Arial"/>
          <w:b/>
          <w:bCs/>
          <w:color w:val="0070C0"/>
          <w:sz w:val="20"/>
          <w:szCs w:val="20"/>
        </w:rPr>
        <w:t xml:space="preserve">: </w:t>
      </w:r>
      <w:commentRangeEnd w:id="1"/>
      <w:r w:rsidRPr="00143C92">
        <w:rPr>
          <w:rStyle w:val="CommentReference"/>
          <w:rFonts w:ascii="Century Gothic" w:hAnsi="Century Gothic"/>
        </w:rPr>
        <w:commentReference w:id="1"/>
      </w:r>
    </w:p>
    <w:p w14:paraId="6AEDBD8C" w14:textId="77777777" w:rsidR="00521B9F" w:rsidRPr="00143C92" w:rsidRDefault="00521B9F" w:rsidP="00521B9F">
      <w:pPr>
        <w:spacing w:after="0" w:line="240" w:lineRule="auto"/>
        <w:rPr>
          <w:rFonts w:ascii="Century Gothic" w:hAnsi="Century Gothic" w:cs="Arial"/>
          <w:sz w:val="20"/>
          <w:szCs w:val="20"/>
        </w:rPr>
      </w:pPr>
      <w:r w:rsidRPr="00143C92">
        <w:rPr>
          <w:rFonts w:ascii="Century Gothic" w:hAnsi="Century Gothic" w:cs="Arial"/>
          <w:sz w:val="20"/>
          <w:szCs w:val="20"/>
        </w:rPr>
        <w:t xml:space="preserve">Final administration of the legacy UBE: </w:t>
      </w:r>
      <w:r w:rsidRPr="00143C92">
        <w:rPr>
          <w:rFonts w:ascii="Century Gothic" w:hAnsi="Century Gothic" w:cs="Arial"/>
          <w:sz w:val="20"/>
          <w:szCs w:val="20"/>
          <w:highlight w:val="yellow"/>
        </w:rPr>
        <w:t>DATE</w:t>
      </w:r>
    </w:p>
    <w:p w14:paraId="3D8D8FD5" w14:textId="77777777" w:rsidR="00521B9F" w:rsidRPr="00143C92" w:rsidRDefault="00521B9F" w:rsidP="00521B9F">
      <w:pPr>
        <w:spacing w:after="0" w:line="240" w:lineRule="auto"/>
        <w:rPr>
          <w:rFonts w:ascii="Century Gothic" w:hAnsi="Century Gothic" w:cs="Arial"/>
          <w:sz w:val="20"/>
          <w:szCs w:val="20"/>
        </w:rPr>
      </w:pPr>
      <w:r w:rsidRPr="00143C92">
        <w:rPr>
          <w:rFonts w:ascii="Century Gothic" w:hAnsi="Century Gothic" w:cs="Arial"/>
          <w:sz w:val="20"/>
          <w:szCs w:val="20"/>
        </w:rPr>
        <w:t xml:space="preserve">First administration of the NextGen UBE: </w:t>
      </w:r>
      <w:r w:rsidRPr="00143C92">
        <w:rPr>
          <w:rFonts w:ascii="Century Gothic" w:hAnsi="Century Gothic" w:cs="Arial"/>
          <w:sz w:val="20"/>
          <w:szCs w:val="20"/>
          <w:highlight w:val="yellow"/>
        </w:rPr>
        <w:t>DATE</w:t>
      </w:r>
    </w:p>
    <w:p w14:paraId="619FE436" w14:textId="77777777" w:rsidR="00521B9F" w:rsidRPr="00143C92" w:rsidRDefault="00521B9F" w:rsidP="4B831A8D">
      <w:pPr>
        <w:spacing w:after="0" w:line="240" w:lineRule="auto"/>
        <w:rPr>
          <w:rFonts w:ascii="Century Gothic" w:hAnsi="Century Gothic" w:cs="Arial"/>
          <w:sz w:val="20"/>
          <w:szCs w:val="20"/>
        </w:rPr>
      </w:pPr>
    </w:p>
    <w:p w14:paraId="1F17C30F" w14:textId="77777777" w:rsidR="00521B9F" w:rsidRPr="00143C92" w:rsidRDefault="00521B9F" w:rsidP="00521B9F">
      <w:pPr>
        <w:spacing w:after="0" w:line="240" w:lineRule="auto"/>
        <w:rPr>
          <w:rFonts w:ascii="Century Gothic" w:hAnsi="Century Gothic" w:cs="Arial"/>
          <w:b/>
          <w:bCs/>
          <w:color w:val="0070C0"/>
          <w:sz w:val="20"/>
          <w:szCs w:val="20"/>
        </w:rPr>
      </w:pPr>
      <w:r w:rsidRPr="00143C92">
        <w:rPr>
          <w:rFonts w:ascii="Century Gothic" w:hAnsi="Century Gothic" w:cs="Arial"/>
          <w:b/>
          <w:bCs/>
          <w:color w:val="0070C0"/>
          <w:sz w:val="20"/>
          <w:szCs w:val="20"/>
        </w:rPr>
        <w:t xml:space="preserve">In </w:t>
      </w:r>
      <w:r w:rsidRPr="00143C92">
        <w:rPr>
          <w:rFonts w:ascii="Century Gothic" w:hAnsi="Century Gothic" w:cs="Arial"/>
          <w:b/>
          <w:bCs/>
          <w:color w:val="0070C0"/>
          <w:sz w:val="20"/>
          <w:szCs w:val="20"/>
          <w:highlight w:val="yellow"/>
        </w:rPr>
        <w:t>JX NAME</w:t>
      </w:r>
      <w:r w:rsidRPr="00143C92">
        <w:rPr>
          <w:rFonts w:ascii="Century Gothic" w:hAnsi="Century Gothic" w:cs="Arial"/>
          <w:b/>
          <w:bCs/>
          <w:color w:val="0070C0"/>
          <w:sz w:val="20"/>
          <w:szCs w:val="20"/>
        </w:rPr>
        <w:t xml:space="preserve">: </w:t>
      </w:r>
    </w:p>
    <w:p w14:paraId="6DA2DA55" w14:textId="77777777" w:rsidR="00521B9F" w:rsidRPr="00143C92" w:rsidRDefault="00521B9F" w:rsidP="00521B9F">
      <w:pPr>
        <w:spacing w:after="0" w:line="240" w:lineRule="auto"/>
        <w:rPr>
          <w:rFonts w:ascii="Century Gothic" w:hAnsi="Century Gothic" w:cs="Arial"/>
          <w:sz w:val="20"/>
          <w:szCs w:val="20"/>
        </w:rPr>
      </w:pPr>
      <w:r w:rsidRPr="00143C92">
        <w:rPr>
          <w:rFonts w:ascii="Century Gothic" w:hAnsi="Century Gothic" w:cs="Arial"/>
          <w:sz w:val="20"/>
          <w:szCs w:val="20"/>
        </w:rPr>
        <w:t xml:space="preserve">Final administration of the legacy UBE: </w:t>
      </w:r>
      <w:r w:rsidRPr="00143C92">
        <w:rPr>
          <w:rFonts w:ascii="Century Gothic" w:hAnsi="Century Gothic" w:cs="Arial"/>
          <w:sz w:val="20"/>
          <w:szCs w:val="20"/>
          <w:highlight w:val="yellow"/>
        </w:rPr>
        <w:t>DATE</w:t>
      </w:r>
    </w:p>
    <w:p w14:paraId="1B9EDE73" w14:textId="77777777" w:rsidR="00521B9F" w:rsidRPr="00143C92" w:rsidRDefault="00521B9F" w:rsidP="00521B9F">
      <w:pPr>
        <w:spacing w:after="0" w:line="240" w:lineRule="auto"/>
        <w:rPr>
          <w:rFonts w:ascii="Century Gothic" w:hAnsi="Century Gothic" w:cs="Arial"/>
          <w:sz w:val="20"/>
          <w:szCs w:val="20"/>
        </w:rPr>
      </w:pPr>
      <w:r w:rsidRPr="00143C92">
        <w:rPr>
          <w:rFonts w:ascii="Century Gothic" w:hAnsi="Century Gothic" w:cs="Arial"/>
          <w:sz w:val="20"/>
          <w:szCs w:val="20"/>
        </w:rPr>
        <w:t xml:space="preserve">First administration of the NextGen UBE: </w:t>
      </w:r>
      <w:r w:rsidRPr="00143C92">
        <w:rPr>
          <w:rFonts w:ascii="Century Gothic" w:hAnsi="Century Gothic" w:cs="Arial"/>
          <w:sz w:val="20"/>
          <w:szCs w:val="20"/>
          <w:highlight w:val="yellow"/>
        </w:rPr>
        <w:t>DATE</w:t>
      </w:r>
    </w:p>
    <w:p w14:paraId="1D2C4FC2" w14:textId="77777777" w:rsidR="00FA37D4" w:rsidRPr="00143C92" w:rsidRDefault="00FA37D4" w:rsidP="00521B9F">
      <w:pPr>
        <w:spacing w:after="0" w:line="240" w:lineRule="auto"/>
        <w:rPr>
          <w:rFonts w:ascii="Century Gothic" w:hAnsi="Century Gothic" w:cs="Arial"/>
          <w:sz w:val="20"/>
          <w:szCs w:val="20"/>
        </w:rPr>
      </w:pPr>
    </w:p>
    <w:p w14:paraId="6410AC5D" w14:textId="547787E1" w:rsidR="00FA37D4" w:rsidRPr="00143C92" w:rsidRDefault="00FA37D4" w:rsidP="4B831A8D">
      <w:pPr>
        <w:spacing w:after="0" w:line="240" w:lineRule="auto"/>
        <w:rPr>
          <w:rFonts w:ascii="Century Gothic" w:hAnsi="Century Gothic" w:cs="Arial"/>
          <w:sz w:val="20"/>
          <w:szCs w:val="20"/>
        </w:rPr>
      </w:pPr>
      <w:r w:rsidRPr="00143C92">
        <w:rPr>
          <w:rFonts w:ascii="Century Gothic" w:hAnsi="Century Gothic" w:cs="Arial"/>
          <w:sz w:val="20"/>
          <w:szCs w:val="20"/>
        </w:rPr>
        <w:t xml:space="preserve">During the </w:t>
      </w:r>
      <w:r w:rsidR="007332E2">
        <w:rPr>
          <w:rFonts w:ascii="Century Gothic" w:hAnsi="Century Gothic" w:cs="Arial"/>
          <w:sz w:val="20"/>
          <w:szCs w:val="20"/>
        </w:rPr>
        <w:t xml:space="preserve">UBE </w:t>
      </w:r>
      <w:r w:rsidRPr="00143C92">
        <w:rPr>
          <w:rFonts w:ascii="Century Gothic" w:hAnsi="Century Gothic" w:cs="Arial"/>
          <w:sz w:val="20"/>
          <w:szCs w:val="20"/>
        </w:rPr>
        <w:t xml:space="preserve">transition period, examinees will have a choice: Whether to sit for the legacy UBE or the NextGen UBE. Both exams provide portable bar exam scores, meaning that a qualifying UBE score earned in one UBE jurisdiction may be used to apply for admission to other UBE jurisdictions. To find out if the jurisdiction in which you wish to be licensed administers and/or accepts scores earned through the UBE, visit </w:t>
      </w:r>
      <w:hyperlink r:id="rId14" w:history="1">
        <w:r w:rsidRPr="00143C92">
          <w:rPr>
            <w:rStyle w:val="Hyperlink"/>
            <w:rFonts w:ascii="Century Gothic" w:hAnsi="Century Gothic" w:cs="Arial"/>
            <w:sz w:val="20"/>
            <w:szCs w:val="20"/>
          </w:rPr>
          <w:t>https://www.ncbex.org/jurisdictions</w:t>
        </w:r>
      </w:hyperlink>
      <w:r w:rsidRPr="00143C92">
        <w:rPr>
          <w:rFonts w:ascii="Century Gothic" w:hAnsi="Century Gothic" w:cs="Arial"/>
          <w:sz w:val="20"/>
          <w:szCs w:val="20"/>
        </w:rPr>
        <w:t xml:space="preserve">. </w:t>
      </w:r>
    </w:p>
    <w:p w14:paraId="23558AF4" w14:textId="77777777" w:rsidR="00FA37D4" w:rsidRPr="00143C92" w:rsidRDefault="00FA37D4" w:rsidP="4B831A8D">
      <w:pPr>
        <w:spacing w:after="0" w:line="240" w:lineRule="auto"/>
        <w:rPr>
          <w:rFonts w:ascii="Century Gothic" w:hAnsi="Century Gothic" w:cs="Arial"/>
          <w:sz w:val="20"/>
          <w:szCs w:val="20"/>
        </w:rPr>
      </w:pPr>
    </w:p>
    <w:p w14:paraId="02DD7A87" w14:textId="2B8A00C0" w:rsidR="00CB2709" w:rsidRPr="00143C92" w:rsidRDefault="00CB2709" w:rsidP="00CB2709">
      <w:pPr>
        <w:spacing w:after="0" w:line="240" w:lineRule="auto"/>
        <w:jc w:val="center"/>
        <w:rPr>
          <w:rFonts w:ascii="Century Gothic" w:hAnsi="Century Gothic" w:cs="Arial"/>
          <w:b/>
          <w:bCs/>
          <w:color w:val="002060"/>
        </w:rPr>
      </w:pPr>
      <w:r w:rsidRPr="00143C92">
        <w:rPr>
          <w:rFonts w:ascii="Century Gothic" w:hAnsi="Century Gothic" w:cs="Arial"/>
          <w:b/>
          <w:bCs/>
          <w:color w:val="002060"/>
        </w:rPr>
        <w:t xml:space="preserve">Legacy UBE vs. NextGen UBE: </w:t>
      </w:r>
      <w:r w:rsidR="00FA37D4" w:rsidRPr="00143C92">
        <w:rPr>
          <w:rFonts w:ascii="Century Gothic" w:hAnsi="Century Gothic" w:cs="Arial"/>
          <w:b/>
          <w:bCs/>
          <w:color w:val="002060"/>
        </w:rPr>
        <w:t>Similarities and Differences</w:t>
      </w:r>
    </w:p>
    <w:p w14:paraId="70E8A360" w14:textId="77777777" w:rsidR="00CB2709" w:rsidRPr="00143C92" w:rsidRDefault="00CB2709" w:rsidP="00CB2709">
      <w:pPr>
        <w:spacing w:after="0" w:line="240" w:lineRule="auto"/>
        <w:rPr>
          <w:rFonts w:ascii="Century Gothic" w:hAnsi="Century Gothic" w:cs="Arial"/>
          <w:sz w:val="20"/>
          <w:szCs w:val="20"/>
        </w:rPr>
      </w:pPr>
    </w:p>
    <w:p w14:paraId="69CA923C" w14:textId="77777777" w:rsidR="00AB54B0" w:rsidRPr="00143C92" w:rsidRDefault="00CB2709" w:rsidP="00CB2709">
      <w:pPr>
        <w:spacing w:after="0" w:line="240" w:lineRule="auto"/>
        <w:rPr>
          <w:rFonts w:ascii="Century Gothic" w:hAnsi="Century Gothic" w:cs="Arial"/>
          <w:sz w:val="20"/>
          <w:szCs w:val="20"/>
        </w:rPr>
      </w:pPr>
      <w:r w:rsidRPr="00143C92">
        <w:rPr>
          <w:rFonts w:ascii="Century Gothic" w:hAnsi="Century Gothic" w:cs="Arial"/>
          <w:sz w:val="20"/>
          <w:szCs w:val="20"/>
        </w:rPr>
        <w:t xml:space="preserve">As jurisdictions </w:t>
      </w:r>
      <w:r w:rsidR="00603C48" w:rsidRPr="00143C92">
        <w:rPr>
          <w:rFonts w:ascii="Century Gothic" w:hAnsi="Century Gothic" w:cs="Arial"/>
          <w:sz w:val="20"/>
          <w:szCs w:val="20"/>
        </w:rPr>
        <w:t xml:space="preserve">across the country </w:t>
      </w:r>
      <w:r w:rsidRPr="00143C92">
        <w:rPr>
          <w:rFonts w:ascii="Century Gothic" w:hAnsi="Century Gothic" w:cs="Arial"/>
          <w:sz w:val="20"/>
          <w:szCs w:val="20"/>
        </w:rPr>
        <w:t xml:space="preserve">transition from the </w:t>
      </w:r>
      <w:r w:rsidR="00603C48" w:rsidRPr="00143C92">
        <w:rPr>
          <w:rFonts w:ascii="Century Gothic" w:hAnsi="Century Gothic" w:cs="Arial"/>
          <w:sz w:val="20"/>
          <w:szCs w:val="20"/>
        </w:rPr>
        <w:t>l</w:t>
      </w:r>
      <w:r w:rsidRPr="00143C92">
        <w:rPr>
          <w:rFonts w:ascii="Century Gothic" w:hAnsi="Century Gothic" w:cs="Arial"/>
          <w:sz w:val="20"/>
          <w:szCs w:val="20"/>
        </w:rPr>
        <w:t xml:space="preserve">egacy </w:t>
      </w:r>
      <w:r w:rsidR="00AB54B0" w:rsidRPr="00143C92">
        <w:rPr>
          <w:rFonts w:ascii="Century Gothic" w:hAnsi="Century Gothic" w:cs="Arial"/>
          <w:sz w:val="20"/>
          <w:szCs w:val="20"/>
        </w:rPr>
        <w:t xml:space="preserve">UBE </w:t>
      </w:r>
      <w:r w:rsidRPr="00143C92">
        <w:rPr>
          <w:rFonts w:ascii="Century Gothic" w:hAnsi="Century Gothic" w:cs="Arial"/>
          <w:sz w:val="20"/>
          <w:szCs w:val="20"/>
        </w:rPr>
        <w:t xml:space="preserve">to the </w:t>
      </w:r>
      <w:hyperlink r:id="rId15"/>
      <w:r w:rsidR="00AB54B0" w:rsidRPr="00143C92">
        <w:rPr>
          <w:rFonts w:ascii="Century Gothic" w:hAnsi="Century Gothic"/>
          <w:sz w:val="20"/>
          <w:szCs w:val="20"/>
        </w:rPr>
        <w:t>NextGen UBE</w:t>
      </w:r>
      <w:r w:rsidRPr="00143C92">
        <w:rPr>
          <w:rFonts w:ascii="Century Gothic" w:hAnsi="Century Gothic" w:cs="Arial"/>
          <w:sz w:val="20"/>
          <w:szCs w:val="20"/>
        </w:rPr>
        <w:t xml:space="preserve">, understanding the differences </w:t>
      </w:r>
      <w:r w:rsidR="00AB54B0" w:rsidRPr="00143C92">
        <w:rPr>
          <w:rFonts w:ascii="Century Gothic" w:hAnsi="Century Gothic" w:cs="Arial"/>
          <w:sz w:val="20"/>
          <w:szCs w:val="20"/>
        </w:rPr>
        <w:t xml:space="preserve">— and the similarities — </w:t>
      </w:r>
      <w:r w:rsidR="00603C48" w:rsidRPr="00143C92">
        <w:rPr>
          <w:rFonts w:ascii="Century Gothic" w:hAnsi="Century Gothic" w:cs="Arial"/>
          <w:sz w:val="20"/>
          <w:szCs w:val="20"/>
        </w:rPr>
        <w:t>between the</w:t>
      </w:r>
      <w:r w:rsidR="3E2A12A4" w:rsidRPr="00143C92">
        <w:rPr>
          <w:rFonts w:ascii="Century Gothic" w:hAnsi="Century Gothic" w:cs="Arial"/>
          <w:sz w:val="20"/>
          <w:szCs w:val="20"/>
        </w:rPr>
        <w:t xml:space="preserve"> two exams</w:t>
      </w:r>
      <w:r w:rsidR="00603C48" w:rsidRPr="00143C92">
        <w:rPr>
          <w:rFonts w:ascii="Century Gothic" w:hAnsi="Century Gothic" w:cs="Arial"/>
          <w:sz w:val="20"/>
          <w:szCs w:val="20"/>
        </w:rPr>
        <w:t xml:space="preserve"> </w:t>
      </w:r>
      <w:r w:rsidRPr="00143C92">
        <w:rPr>
          <w:rFonts w:ascii="Century Gothic" w:hAnsi="Century Gothic" w:cs="Arial"/>
          <w:sz w:val="20"/>
          <w:szCs w:val="20"/>
        </w:rPr>
        <w:t xml:space="preserve">is crucial. </w:t>
      </w:r>
    </w:p>
    <w:p w14:paraId="40920550" w14:textId="77777777" w:rsidR="00AB54B0" w:rsidRPr="00143C92" w:rsidRDefault="00AB54B0" w:rsidP="00CB2709">
      <w:pPr>
        <w:spacing w:after="0" w:line="240" w:lineRule="auto"/>
        <w:rPr>
          <w:rFonts w:ascii="Century Gothic" w:hAnsi="Century Gothic" w:cs="Arial"/>
          <w:sz w:val="20"/>
          <w:szCs w:val="20"/>
        </w:rPr>
      </w:pPr>
    </w:p>
    <w:p w14:paraId="5C56315A" w14:textId="39089067" w:rsidR="00AB54B0" w:rsidRPr="00143C92" w:rsidRDefault="00AB54B0" w:rsidP="00CB2709">
      <w:pPr>
        <w:spacing w:after="0" w:line="240" w:lineRule="auto"/>
        <w:rPr>
          <w:rFonts w:ascii="Century Gothic" w:hAnsi="Century Gothic" w:cs="Arial"/>
          <w:b/>
          <w:bCs/>
          <w:color w:val="0070C0"/>
          <w:sz w:val="20"/>
          <w:szCs w:val="20"/>
        </w:rPr>
      </w:pPr>
      <w:r w:rsidRPr="00143C92">
        <w:rPr>
          <w:rFonts w:ascii="Century Gothic" w:hAnsi="Century Gothic" w:cs="Arial"/>
          <w:b/>
          <w:bCs/>
          <w:color w:val="0070C0"/>
          <w:sz w:val="20"/>
          <w:szCs w:val="20"/>
        </w:rPr>
        <w:t>Key Similarities:</w:t>
      </w:r>
    </w:p>
    <w:p w14:paraId="0CB4D76E" w14:textId="77777777" w:rsidR="00AB54B0" w:rsidRPr="00143C92" w:rsidRDefault="00AB54B0" w:rsidP="00CB2709">
      <w:pPr>
        <w:spacing w:after="0" w:line="240" w:lineRule="auto"/>
        <w:rPr>
          <w:rFonts w:ascii="Century Gothic" w:hAnsi="Century Gothic" w:cs="Arial"/>
          <w:sz w:val="20"/>
          <w:szCs w:val="20"/>
        </w:rPr>
      </w:pPr>
    </w:p>
    <w:p w14:paraId="22B77A2E" w14:textId="6218407A" w:rsidR="00AB54B0" w:rsidRPr="00143C92" w:rsidRDefault="00281D1A" w:rsidP="00AB54B0">
      <w:pPr>
        <w:pStyle w:val="ListParagraph"/>
        <w:numPr>
          <w:ilvl w:val="0"/>
          <w:numId w:val="40"/>
        </w:numPr>
        <w:spacing w:after="0" w:line="240" w:lineRule="auto"/>
        <w:rPr>
          <w:rFonts w:ascii="Century Gothic" w:hAnsi="Century Gothic" w:cs="Arial"/>
          <w:sz w:val="20"/>
          <w:szCs w:val="20"/>
        </w:rPr>
      </w:pPr>
      <w:r w:rsidRPr="00143C92">
        <w:rPr>
          <w:rFonts w:ascii="Century Gothic" w:hAnsi="Century Gothic" w:cs="Arial"/>
          <w:b/>
          <w:bCs/>
          <w:sz w:val="20"/>
          <w:szCs w:val="20"/>
        </w:rPr>
        <w:t xml:space="preserve">Purpose: </w:t>
      </w:r>
      <w:r w:rsidRPr="00143C92">
        <w:rPr>
          <w:rFonts w:ascii="Century Gothic" w:hAnsi="Century Gothic" w:cs="Arial"/>
          <w:sz w:val="20"/>
          <w:szCs w:val="20"/>
        </w:rPr>
        <w:t>A</w:t>
      </w:r>
      <w:r w:rsidR="00AB54B0" w:rsidRPr="00143C92">
        <w:rPr>
          <w:rFonts w:ascii="Century Gothic" w:hAnsi="Century Gothic" w:cs="Arial"/>
          <w:sz w:val="20"/>
          <w:szCs w:val="20"/>
        </w:rPr>
        <w:t>ssess examinees’ readiness for legal practice</w:t>
      </w:r>
      <w:r w:rsidR="0096409C" w:rsidRPr="00143C92">
        <w:rPr>
          <w:rFonts w:ascii="Century Gothic" w:hAnsi="Century Gothic" w:cs="Arial"/>
          <w:sz w:val="20"/>
          <w:szCs w:val="20"/>
        </w:rPr>
        <w:t>, focusing on the legal knowledge and skills most necessary within the first three years after licensure</w:t>
      </w:r>
      <w:r w:rsidR="00AB54B0" w:rsidRPr="00143C92">
        <w:rPr>
          <w:rFonts w:ascii="Century Gothic" w:hAnsi="Century Gothic" w:cs="Arial"/>
          <w:sz w:val="20"/>
          <w:szCs w:val="20"/>
        </w:rPr>
        <w:t xml:space="preserve">. </w:t>
      </w:r>
    </w:p>
    <w:p w14:paraId="72C2DB97" w14:textId="53936C4A" w:rsidR="00AB54B0" w:rsidRPr="00143C92" w:rsidRDefault="00281D1A" w:rsidP="00AB54B0">
      <w:pPr>
        <w:pStyle w:val="ListParagraph"/>
        <w:numPr>
          <w:ilvl w:val="0"/>
          <w:numId w:val="40"/>
        </w:numPr>
        <w:spacing w:after="0" w:line="240" w:lineRule="auto"/>
        <w:rPr>
          <w:rFonts w:ascii="Century Gothic" w:hAnsi="Century Gothic" w:cs="Arial"/>
          <w:sz w:val="20"/>
          <w:szCs w:val="20"/>
        </w:rPr>
      </w:pPr>
      <w:r w:rsidRPr="00143C92">
        <w:rPr>
          <w:rFonts w:ascii="Century Gothic" w:hAnsi="Century Gothic" w:cs="Arial"/>
          <w:b/>
          <w:bCs/>
          <w:sz w:val="20"/>
          <w:szCs w:val="20"/>
        </w:rPr>
        <w:t>Subject Matter:</w:t>
      </w:r>
      <w:r w:rsidRPr="00143C92">
        <w:rPr>
          <w:rFonts w:ascii="Century Gothic" w:hAnsi="Century Gothic" w:cs="Arial"/>
          <w:sz w:val="20"/>
          <w:szCs w:val="20"/>
        </w:rPr>
        <w:t xml:space="preserve"> T</w:t>
      </w:r>
      <w:r w:rsidR="00AB54B0" w:rsidRPr="00143C92">
        <w:rPr>
          <w:rFonts w:ascii="Century Gothic" w:hAnsi="Century Gothic" w:cs="Arial"/>
          <w:sz w:val="20"/>
          <w:szCs w:val="20"/>
        </w:rPr>
        <w:t xml:space="preserve">est the same general subject areas: </w:t>
      </w:r>
      <w:r w:rsidRPr="00143C92">
        <w:rPr>
          <w:rFonts w:ascii="Century Gothic" w:hAnsi="Century Gothic" w:cs="Arial"/>
          <w:sz w:val="20"/>
          <w:szCs w:val="20"/>
        </w:rPr>
        <w:t>business associations, civil procedure, constitutional law, contract law, criminal law, evidence, real property, and torts</w:t>
      </w:r>
      <w:r w:rsidR="00031B13">
        <w:rPr>
          <w:rFonts w:ascii="Century Gothic" w:hAnsi="Century Gothic" w:cs="Arial"/>
          <w:sz w:val="20"/>
          <w:szCs w:val="20"/>
        </w:rPr>
        <w:t xml:space="preserve"> </w:t>
      </w:r>
      <w:r w:rsidR="00031B13" w:rsidRPr="00031B13">
        <w:rPr>
          <w:rFonts w:ascii="Century Gothic" w:hAnsi="Century Gothic" w:cs="Arial"/>
          <w:sz w:val="20"/>
          <w:szCs w:val="20"/>
        </w:rPr>
        <w:t>(see About the Legacy UBE below for info on additional MEE subject areas)</w:t>
      </w:r>
      <w:r w:rsidRPr="00143C92">
        <w:rPr>
          <w:rFonts w:ascii="Century Gothic" w:hAnsi="Century Gothic" w:cs="Arial"/>
          <w:sz w:val="20"/>
          <w:szCs w:val="20"/>
        </w:rPr>
        <w:t>.</w:t>
      </w:r>
      <w:r w:rsidR="003208BC" w:rsidRPr="00143C92">
        <w:rPr>
          <w:rFonts w:ascii="Century Gothic" w:hAnsi="Century Gothic" w:cs="Arial"/>
          <w:sz w:val="20"/>
          <w:szCs w:val="20"/>
        </w:rPr>
        <w:t xml:space="preserve"> Family law will be added to the NextGen UBE in July 2028.</w:t>
      </w:r>
    </w:p>
    <w:p w14:paraId="5B4E27D3" w14:textId="3185D9C3" w:rsidR="003208BC" w:rsidRPr="00143C92" w:rsidRDefault="00281D1A" w:rsidP="00920DB2">
      <w:pPr>
        <w:pStyle w:val="ListParagraph"/>
        <w:numPr>
          <w:ilvl w:val="0"/>
          <w:numId w:val="40"/>
        </w:numPr>
        <w:spacing w:after="0" w:line="240" w:lineRule="auto"/>
        <w:rPr>
          <w:rFonts w:ascii="Century Gothic" w:hAnsi="Century Gothic" w:cs="Arial"/>
          <w:sz w:val="20"/>
          <w:szCs w:val="20"/>
        </w:rPr>
      </w:pPr>
      <w:r w:rsidRPr="00143C92">
        <w:rPr>
          <w:rFonts w:ascii="Century Gothic" w:hAnsi="Century Gothic" w:cs="Arial"/>
          <w:b/>
          <w:bCs/>
          <w:sz w:val="20"/>
          <w:szCs w:val="20"/>
        </w:rPr>
        <w:t>Source:</w:t>
      </w:r>
      <w:r w:rsidRPr="00143C92">
        <w:rPr>
          <w:rFonts w:ascii="Century Gothic" w:hAnsi="Century Gothic" w:cs="Arial"/>
          <w:sz w:val="20"/>
          <w:szCs w:val="20"/>
        </w:rPr>
        <w:t xml:space="preserve"> </w:t>
      </w:r>
      <w:r w:rsidR="002F24E1" w:rsidRPr="00143C92">
        <w:rPr>
          <w:rFonts w:ascii="Century Gothic" w:hAnsi="Century Gothic" w:cs="Arial"/>
          <w:sz w:val="20"/>
          <w:szCs w:val="20"/>
        </w:rPr>
        <w:t>D</w:t>
      </w:r>
      <w:r w:rsidR="00AB54B0" w:rsidRPr="00143C92">
        <w:rPr>
          <w:rFonts w:ascii="Century Gothic" w:hAnsi="Century Gothic" w:cs="Arial"/>
          <w:sz w:val="20"/>
          <w:szCs w:val="20"/>
        </w:rPr>
        <w:t>eveloped by the</w:t>
      </w:r>
      <w:r w:rsidR="00CB2709" w:rsidRPr="00143C92">
        <w:rPr>
          <w:rFonts w:ascii="Century Gothic" w:hAnsi="Century Gothic" w:cs="Arial"/>
          <w:sz w:val="20"/>
          <w:szCs w:val="20"/>
        </w:rPr>
        <w:t xml:space="preserve"> </w:t>
      </w:r>
      <w:hyperlink r:id="rId16">
        <w:r w:rsidR="00CB2709" w:rsidRPr="00143C92">
          <w:rPr>
            <w:rStyle w:val="Hyperlink"/>
            <w:rFonts w:ascii="Century Gothic" w:hAnsi="Century Gothic" w:cs="Arial"/>
            <w:sz w:val="20"/>
            <w:szCs w:val="20"/>
          </w:rPr>
          <w:t>National Conference of Bar Examiners</w:t>
        </w:r>
      </w:hyperlink>
      <w:r w:rsidR="007332E2" w:rsidRPr="007332E2">
        <w:rPr>
          <w:rFonts w:ascii="Century Gothic" w:hAnsi="Century Gothic"/>
          <w:sz w:val="20"/>
          <w:szCs w:val="20"/>
        </w:rPr>
        <w:t xml:space="preserve"> (NCBE)</w:t>
      </w:r>
      <w:r w:rsidR="007332E2">
        <w:rPr>
          <w:rFonts w:ascii="Century Gothic" w:hAnsi="Century Gothic" w:cs="Arial"/>
          <w:sz w:val="20"/>
          <w:szCs w:val="20"/>
        </w:rPr>
        <w:t xml:space="preserve"> </w:t>
      </w:r>
      <w:r w:rsidR="00AB54B0" w:rsidRPr="00143C92">
        <w:rPr>
          <w:rFonts w:ascii="Century Gothic" w:hAnsi="Century Gothic" w:cs="Arial"/>
          <w:sz w:val="20"/>
          <w:szCs w:val="20"/>
        </w:rPr>
        <w:t>and administered by individual jurisdictions. You’ll apply to take the exam in your preferred jurisdiction, and the jurisdiction will determine your eligibility to take the exam.</w:t>
      </w:r>
    </w:p>
    <w:p w14:paraId="11C2F8FD" w14:textId="0371362A" w:rsidR="003208BC" w:rsidRPr="00143C92" w:rsidRDefault="003208BC" w:rsidP="00920DB2">
      <w:pPr>
        <w:pStyle w:val="ListParagraph"/>
        <w:numPr>
          <w:ilvl w:val="0"/>
          <w:numId w:val="40"/>
        </w:numPr>
        <w:spacing w:after="0" w:line="240" w:lineRule="auto"/>
        <w:rPr>
          <w:rFonts w:ascii="Century Gothic" w:hAnsi="Century Gothic" w:cs="Arial"/>
          <w:sz w:val="20"/>
          <w:szCs w:val="20"/>
        </w:rPr>
      </w:pPr>
      <w:r w:rsidRPr="00143C92">
        <w:rPr>
          <w:rFonts w:ascii="Century Gothic" w:hAnsi="Century Gothic" w:cs="Arial"/>
          <w:b/>
          <w:bCs/>
          <w:sz w:val="20"/>
          <w:szCs w:val="20"/>
        </w:rPr>
        <w:t>Test Accommodations:</w:t>
      </w:r>
      <w:r w:rsidRPr="00143C92">
        <w:rPr>
          <w:rFonts w:ascii="Century Gothic" w:hAnsi="Century Gothic" w:cs="Arial"/>
          <w:sz w:val="20"/>
          <w:szCs w:val="20"/>
        </w:rPr>
        <w:t xml:space="preserve"> Examinees seeking test accommodations apply through their jurisdiction, which makes all accommodations decisions.</w:t>
      </w:r>
    </w:p>
    <w:p w14:paraId="55364FFD" w14:textId="228C475A" w:rsidR="00281D1A" w:rsidRPr="00143C92" w:rsidRDefault="00281D1A" w:rsidP="00920DB2">
      <w:pPr>
        <w:pStyle w:val="ListParagraph"/>
        <w:numPr>
          <w:ilvl w:val="0"/>
          <w:numId w:val="40"/>
        </w:numPr>
        <w:spacing w:after="0" w:line="240" w:lineRule="auto"/>
        <w:rPr>
          <w:rFonts w:ascii="Century Gothic" w:hAnsi="Century Gothic" w:cs="Arial"/>
          <w:sz w:val="20"/>
          <w:szCs w:val="20"/>
        </w:rPr>
      </w:pPr>
      <w:r w:rsidRPr="00143C92">
        <w:rPr>
          <w:rFonts w:ascii="Century Gothic" w:hAnsi="Century Gothic" w:cs="Arial"/>
          <w:b/>
          <w:bCs/>
          <w:sz w:val="20"/>
          <w:szCs w:val="20"/>
        </w:rPr>
        <w:lastRenderedPageBreak/>
        <w:t xml:space="preserve">Dates: </w:t>
      </w:r>
      <w:r w:rsidR="00143C92" w:rsidRPr="00143C92">
        <w:rPr>
          <w:rFonts w:ascii="Century Gothic" w:hAnsi="Century Gothic" w:cs="Arial"/>
          <w:sz w:val="20"/>
          <w:szCs w:val="20"/>
        </w:rPr>
        <w:t>Administered</w:t>
      </w:r>
      <w:r w:rsidRPr="00143C92">
        <w:rPr>
          <w:rFonts w:ascii="Century Gothic" w:hAnsi="Century Gothic" w:cs="Arial"/>
          <w:sz w:val="20"/>
          <w:szCs w:val="20"/>
        </w:rPr>
        <w:t xml:space="preserve"> twice yearly, on the las</w:t>
      </w:r>
      <w:r w:rsidR="002F24E1" w:rsidRPr="00143C92">
        <w:rPr>
          <w:rFonts w:ascii="Century Gothic" w:hAnsi="Century Gothic" w:cs="Arial"/>
          <w:sz w:val="20"/>
          <w:szCs w:val="20"/>
        </w:rPr>
        <w:t>t</w:t>
      </w:r>
      <w:r w:rsidRPr="00143C92">
        <w:rPr>
          <w:rFonts w:ascii="Century Gothic" w:hAnsi="Century Gothic" w:cs="Arial"/>
          <w:sz w:val="20"/>
          <w:szCs w:val="20"/>
        </w:rPr>
        <w:t xml:space="preserve"> Tuesday and Wednesday of February and July.</w:t>
      </w:r>
    </w:p>
    <w:p w14:paraId="17DFE3D5" w14:textId="4217DF37" w:rsidR="00281D1A" w:rsidRPr="00143C92" w:rsidRDefault="00281D1A" w:rsidP="00281D1A">
      <w:pPr>
        <w:pStyle w:val="ListParagraph"/>
        <w:numPr>
          <w:ilvl w:val="0"/>
          <w:numId w:val="40"/>
        </w:numPr>
        <w:spacing w:after="0" w:line="240" w:lineRule="auto"/>
        <w:rPr>
          <w:rFonts w:ascii="Century Gothic" w:hAnsi="Century Gothic" w:cs="Arial"/>
          <w:sz w:val="20"/>
          <w:szCs w:val="20"/>
        </w:rPr>
      </w:pPr>
      <w:r w:rsidRPr="00143C92">
        <w:rPr>
          <w:rFonts w:ascii="Century Gothic" w:hAnsi="Century Gothic" w:cs="Arial"/>
          <w:b/>
          <w:bCs/>
          <w:sz w:val="20"/>
          <w:szCs w:val="20"/>
        </w:rPr>
        <w:t xml:space="preserve">Portability: </w:t>
      </w:r>
      <w:r w:rsidRPr="00143C92">
        <w:rPr>
          <w:rFonts w:ascii="Century Gothic" w:hAnsi="Century Gothic" w:cs="Arial"/>
          <w:sz w:val="20"/>
          <w:szCs w:val="20"/>
        </w:rPr>
        <w:t xml:space="preserve">Produce portable scores for transfer to participating jurisdictions. </w:t>
      </w:r>
    </w:p>
    <w:p w14:paraId="60901A59" w14:textId="77777777" w:rsidR="00AB54B0" w:rsidRPr="00143C92" w:rsidRDefault="00AB54B0" w:rsidP="00CB2709">
      <w:pPr>
        <w:spacing w:after="0" w:line="240" w:lineRule="auto"/>
        <w:rPr>
          <w:rFonts w:ascii="Century Gothic" w:hAnsi="Century Gothic" w:cs="Arial"/>
          <w:sz w:val="20"/>
          <w:szCs w:val="20"/>
        </w:rPr>
      </w:pPr>
    </w:p>
    <w:p w14:paraId="212B8DF6" w14:textId="27D09BCD" w:rsidR="00CB2709" w:rsidRPr="00143C92" w:rsidRDefault="00CB2709" w:rsidP="00CB2709">
      <w:pPr>
        <w:spacing w:after="0" w:line="240" w:lineRule="auto"/>
        <w:rPr>
          <w:rFonts w:ascii="Century Gothic" w:hAnsi="Century Gothic" w:cs="Arial"/>
          <w:b/>
          <w:bCs/>
          <w:color w:val="0070C0"/>
          <w:sz w:val="20"/>
          <w:szCs w:val="20"/>
        </w:rPr>
      </w:pPr>
      <w:r w:rsidRPr="00143C92">
        <w:rPr>
          <w:rFonts w:ascii="Century Gothic" w:hAnsi="Century Gothic" w:cs="Arial"/>
          <w:b/>
          <w:bCs/>
          <w:color w:val="0070C0"/>
          <w:sz w:val="20"/>
          <w:szCs w:val="20"/>
        </w:rPr>
        <w:t>Key Differences:</w:t>
      </w:r>
    </w:p>
    <w:p w14:paraId="25C4BE19" w14:textId="77777777" w:rsidR="00281D1A" w:rsidRPr="00143C92" w:rsidRDefault="00281D1A" w:rsidP="00CB2709">
      <w:pPr>
        <w:spacing w:after="0" w:line="240" w:lineRule="auto"/>
        <w:rPr>
          <w:rFonts w:ascii="Century Gothic" w:hAnsi="Century Gothic" w:cs="Arial"/>
          <w:b/>
          <w:bCs/>
          <w:color w:val="002060"/>
          <w:sz w:val="20"/>
          <w:szCs w:val="20"/>
        </w:rPr>
      </w:pPr>
    </w:p>
    <w:p w14:paraId="1EF1D11B" w14:textId="77777777" w:rsidR="00CB2709" w:rsidRPr="00143C92" w:rsidRDefault="00CB2709" w:rsidP="00CB2709">
      <w:pPr>
        <w:numPr>
          <w:ilvl w:val="0"/>
          <w:numId w:val="37"/>
        </w:numPr>
        <w:spacing w:after="0" w:line="240" w:lineRule="auto"/>
        <w:rPr>
          <w:rFonts w:ascii="Century Gothic" w:hAnsi="Century Gothic" w:cs="Arial"/>
          <w:sz w:val="20"/>
          <w:szCs w:val="20"/>
        </w:rPr>
      </w:pPr>
      <w:r w:rsidRPr="00143C92">
        <w:rPr>
          <w:rFonts w:ascii="Century Gothic" w:hAnsi="Century Gothic" w:cs="Arial"/>
          <w:b/>
          <w:bCs/>
          <w:sz w:val="20"/>
          <w:szCs w:val="20"/>
        </w:rPr>
        <w:t>Duration:</w:t>
      </w:r>
      <w:r w:rsidRPr="00143C92">
        <w:rPr>
          <w:rFonts w:ascii="Century Gothic" w:hAnsi="Century Gothic" w:cs="Arial"/>
          <w:sz w:val="20"/>
          <w:szCs w:val="20"/>
        </w:rPr>
        <w:t> Legacy UBE is 12 hours over two days; NextGen UBE is 9 hours over 1.5 days.</w:t>
      </w:r>
    </w:p>
    <w:p w14:paraId="3DEFAC9F" w14:textId="70A9F401" w:rsidR="00CB2709" w:rsidRPr="00143C92" w:rsidRDefault="00CB2709" w:rsidP="00CB2709">
      <w:pPr>
        <w:numPr>
          <w:ilvl w:val="0"/>
          <w:numId w:val="37"/>
        </w:numPr>
        <w:spacing w:after="0" w:line="240" w:lineRule="auto"/>
        <w:rPr>
          <w:rFonts w:ascii="Century Gothic" w:hAnsi="Century Gothic" w:cs="Arial"/>
          <w:sz w:val="20"/>
          <w:szCs w:val="20"/>
        </w:rPr>
      </w:pPr>
      <w:r w:rsidRPr="00143C92">
        <w:rPr>
          <w:rFonts w:ascii="Century Gothic" w:hAnsi="Century Gothic" w:cs="Arial"/>
          <w:b/>
          <w:bCs/>
          <w:sz w:val="20"/>
          <w:szCs w:val="20"/>
        </w:rPr>
        <w:t>Delivery:</w:t>
      </w:r>
      <w:r w:rsidRPr="00143C92">
        <w:rPr>
          <w:rFonts w:ascii="Century Gothic" w:hAnsi="Century Gothic" w:cs="Arial"/>
          <w:sz w:val="20"/>
          <w:szCs w:val="20"/>
        </w:rPr>
        <w:t> Legacy UBE uses printed materials</w:t>
      </w:r>
      <w:r w:rsidR="00281D1A" w:rsidRPr="00143C92">
        <w:rPr>
          <w:rFonts w:ascii="Century Gothic" w:hAnsi="Century Gothic" w:cs="Arial"/>
          <w:sz w:val="20"/>
          <w:szCs w:val="20"/>
        </w:rPr>
        <w:t xml:space="preserve">, </w:t>
      </w:r>
      <w:r w:rsidRPr="00143C92">
        <w:rPr>
          <w:rFonts w:ascii="Century Gothic" w:hAnsi="Century Gothic" w:cs="Arial"/>
          <w:sz w:val="20"/>
          <w:szCs w:val="20"/>
        </w:rPr>
        <w:t>Scantrons</w:t>
      </w:r>
      <w:r w:rsidR="00281D1A" w:rsidRPr="00143C92">
        <w:rPr>
          <w:rFonts w:ascii="Century Gothic" w:hAnsi="Century Gothic" w:cs="Arial"/>
          <w:sz w:val="20"/>
          <w:szCs w:val="20"/>
        </w:rPr>
        <w:t>, and examinees’</w:t>
      </w:r>
      <w:r w:rsidRPr="00143C92">
        <w:rPr>
          <w:rFonts w:ascii="Century Gothic" w:hAnsi="Century Gothic" w:cs="Arial"/>
          <w:sz w:val="20"/>
          <w:szCs w:val="20"/>
        </w:rPr>
        <w:t xml:space="preserve"> laptops; NextGen UBE is </w:t>
      </w:r>
      <w:r w:rsidR="00281D1A" w:rsidRPr="00143C92">
        <w:rPr>
          <w:rFonts w:ascii="Century Gothic" w:hAnsi="Century Gothic" w:cs="Arial"/>
          <w:sz w:val="20"/>
          <w:szCs w:val="20"/>
        </w:rPr>
        <w:t>administered entirely on examinees’ laptops</w:t>
      </w:r>
      <w:r w:rsidRPr="00143C92">
        <w:rPr>
          <w:rFonts w:ascii="Century Gothic" w:hAnsi="Century Gothic" w:cs="Arial"/>
          <w:sz w:val="20"/>
          <w:szCs w:val="20"/>
        </w:rPr>
        <w:t>.</w:t>
      </w:r>
    </w:p>
    <w:p w14:paraId="2EBE2D9C" w14:textId="44C84553" w:rsidR="00CB2709" w:rsidRPr="00143C92" w:rsidRDefault="00CB2709" w:rsidP="00CB2709">
      <w:pPr>
        <w:numPr>
          <w:ilvl w:val="0"/>
          <w:numId w:val="37"/>
        </w:numPr>
        <w:spacing w:after="0" w:line="240" w:lineRule="auto"/>
        <w:rPr>
          <w:rFonts w:ascii="Century Gothic" w:hAnsi="Century Gothic" w:cs="Arial"/>
          <w:sz w:val="20"/>
          <w:szCs w:val="20"/>
        </w:rPr>
      </w:pPr>
      <w:r w:rsidRPr="00143C92">
        <w:rPr>
          <w:rFonts w:ascii="Century Gothic" w:hAnsi="Century Gothic" w:cs="Arial"/>
          <w:b/>
          <w:bCs/>
          <w:sz w:val="20"/>
          <w:szCs w:val="20"/>
        </w:rPr>
        <w:t>Content Focus:</w:t>
      </w:r>
      <w:r w:rsidRPr="00143C92">
        <w:rPr>
          <w:rFonts w:ascii="Century Gothic" w:hAnsi="Century Gothic" w:cs="Arial"/>
          <w:sz w:val="20"/>
          <w:szCs w:val="20"/>
        </w:rPr>
        <w:t> Both cover core legal knowledge</w:t>
      </w:r>
      <w:r w:rsidR="0096409C" w:rsidRPr="00143C92">
        <w:rPr>
          <w:rFonts w:ascii="Century Gothic" w:hAnsi="Century Gothic" w:cs="Arial"/>
          <w:sz w:val="20"/>
          <w:szCs w:val="20"/>
        </w:rPr>
        <w:t xml:space="preserve">, but the </w:t>
      </w:r>
      <w:r w:rsidRPr="00143C92">
        <w:rPr>
          <w:rFonts w:ascii="Century Gothic" w:hAnsi="Century Gothic" w:cs="Arial"/>
          <w:sz w:val="20"/>
          <w:szCs w:val="20"/>
        </w:rPr>
        <w:t>NextGen UBE expands on</w:t>
      </w:r>
      <w:r w:rsidR="0096409C" w:rsidRPr="00143C92">
        <w:rPr>
          <w:rFonts w:ascii="Century Gothic" w:hAnsi="Century Gothic" w:cs="Arial"/>
          <w:sz w:val="20"/>
          <w:szCs w:val="20"/>
        </w:rPr>
        <w:t xml:space="preserve"> the</w:t>
      </w:r>
      <w:r w:rsidRPr="00143C92">
        <w:rPr>
          <w:rFonts w:ascii="Century Gothic" w:hAnsi="Century Gothic" w:cs="Arial"/>
          <w:sz w:val="20"/>
          <w:szCs w:val="20"/>
        </w:rPr>
        <w:t xml:space="preserve"> legal skills</w:t>
      </w:r>
      <w:r w:rsidR="0096409C" w:rsidRPr="00143C92">
        <w:rPr>
          <w:rFonts w:ascii="Century Gothic" w:hAnsi="Century Gothic" w:cs="Arial"/>
          <w:sz w:val="20"/>
          <w:szCs w:val="20"/>
        </w:rPr>
        <w:t xml:space="preserve"> tested on the legacy UBE</w:t>
      </w:r>
      <w:r w:rsidRPr="00143C92">
        <w:rPr>
          <w:rFonts w:ascii="Century Gothic" w:hAnsi="Century Gothic" w:cs="Arial"/>
          <w:sz w:val="20"/>
          <w:szCs w:val="20"/>
        </w:rPr>
        <w:t>, emphasizing</w:t>
      </w:r>
      <w:r w:rsidR="0096409C" w:rsidRPr="00143C92">
        <w:rPr>
          <w:rFonts w:ascii="Century Gothic" w:hAnsi="Century Gothic" w:cs="Arial"/>
          <w:sz w:val="20"/>
          <w:szCs w:val="20"/>
        </w:rPr>
        <w:t xml:space="preserve"> issue spotting,</w:t>
      </w:r>
      <w:r w:rsidRPr="00143C92">
        <w:rPr>
          <w:rFonts w:ascii="Century Gothic" w:hAnsi="Century Gothic" w:cs="Arial"/>
          <w:sz w:val="20"/>
          <w:szCs w:val="20"/>
        </w:rPr>
        <w:t xml:space="preserve"> research, writing, client counseling, </w:t>
      </w:r>
      <w:r w:rsidR="0096409C" w:rsidRPr="00143C92">
        <w:rPr>
          <w:rFonts w:ascii="Century Gothic" w:hAnsi="Century Gothic" w:cs="Arial"/>
          <w:sz w:val="20"/>
          <w:szCs w:val="20"/>
        </w:rPr>
        <w:t xml:space="preserve">and </w:t>
      </w:r>
      <w:r w:rsidRPr="00143C92">
        <w:rPr>
          <w:rFonts w:ascii="Century Gothic" w:hAnsi="Century Gothic" w:cs="Arial"/>
          <w:sz w:val="20"/>
          <w:szCs w:val="20"/>
        </w:rPr>
        <w:t>negotiation</w:t>
      </w:r>
      <w:r w:rsidR="0096409C" w:rsidRPr="00143C92">
        <w:rPr>
          <w:rFonts w:ascii="Century Gothic" w:hAnsi="Century Gothic" w:cs="Arial"/>
          <w:sz w:val="20"/>
          <w:szCs w:val="20"/>
        </w:rPr>
        <w:t>.</w:t>
      </w:r>
    </w:p>
    <w:p w14:paraId="2C83E670" w14:textId="6E4332DE" w:rsidR="00CB2709" w:rsidRPr="00143C92" w:rsidRDefault="00CB2709" w:rsidP="00CB2709">
      <w:pPr>
        <w:numPr>
          <w:ilvl w:val="0"/>
          <w:numId w:val="37"/>
        </w:numPr>
        <w:spacing w:after="0" w:line="240" w:lineRule="auto"/>
        <w:rPr>
          <w:rFonts w:ascii="Century Gothic" w:hAnsi="Century Gothic" w:cs="Arial"/>
          <w:sz w:val="20"/>
          <w:szCs w:val="20"/>
        </w:rPr>
      </w:pPr>
      <w:r w:rsidRPr="00143C92">
        <w:rPr>
          <w:rFonts w:ascii="Century Gothic" w:hAnsi="Century Gothic" w:cs="Arial"/>
          <w:b/>
          <w:bCs/>
          <w:sz w:val="20"/>
          <w:szCs w:val="20"/>
        </w:rPr>
        <w:t>Question Structure:</w:t>
      </w:r>
      <w:r w:rsidRPr="00143C92">
        <w:rPr>
          <w:rFonts w:ascii="Century Gothic" w:hAnsi="Century Gothic" w:cs="Arial"/>
          <w:sz w:val="20"/>
          <w:szCs w:val="20"/>
        </w:rPr>
        <w:t> Legacy UBE includes multiple-choice</w:t>
      </w:r>
      <w:r w:rsidR="0096409C" w:rsidRPr="00143C92">
        <w:rPr>
          <w:rFonts w:ascii="Century Gothic" w:hAnsi="Century Gothic" w:cs="Arial"/>
          <w:sz w:val="20"/>
          <w:szCs w:val="20"/>
        </w:rPr>
        <w:t xml:space="preserve"> questions</w:t>
      </w:r>
      <w:r w:rsidRPr="00143C92">
        <w:rPr>
          <w:rFonts w:ascii="Century Gothic" w:hAnsi="Century Gothic" w:cs="Arial"/>
          <w:sz w:val="20"/>
          <w:szCs w:val="20"/>
        </w:rPr>
        <w:t xml:space="preserve">, essays, and performance </w:t>
      </w:r>
      <w:r w:rsidR="2661A8A2" w:rsidRPr="00143C92">
        <w:rPr>
          <w:rFonts w:ascii="Century Gothic" w:hAnsi="Century Gothic" w:cs="Arial"/>
          <w:sz w:val="20"/>
          <w:szCs w:val="20"/>
        </w:rPr>
        <w:t>tests</w:t>
      </w:r>
      <w:r w:rsidRPr="00143C92">
        <w:rPr>
          <w:rFonts w:ascii="Century Gothic" w:hAnsi="Century Gothic" w:cs="Arial"/>
          <w:sz w:val="20"/>
          <w:szCs w:val="20"/>
        </w:rPr>
        <w:t>; NextGen UBE includes multiple-choice</w:t>
      </w:r>
      <w:r w:rsidR="0096409C" w:rsidRPr="00143C92">
        <w:rPr>
          <w:rFonts w:ascii="Century Gothic" w:hAnsi="Century Gothic" w:cs="Arial"/>
          <w:sz w:val="20"/>
          <w:szCs w:val="20"/>
        </w:rPr>
        <w:t xml:space="preserve"> questions</w:t>
      </w:r>
      <w:r w:rsidRPr="00143C92">
        <w:rPr>
          <w:rFonts w:ascii="Century Gothic" w:hAnsi="Century Gothic" w:cs="Arial"/>
          <w:sz w:val="20"/>
          <w:szCs w:val="20"/>
        </w:rPr>
        <w:t xml:space="preserve">, </w:t>
      </w:r>
      <w:r w:rsidR="0096409C" w:rsidRPr="00143C92">
        <w:rPr>
          <w:rFonts w:ascii="Century Gothic" w:hAnsi="Century Gothic" w:cs="Arial"/>
          <w:sz w:val="20"/>
          <w:szCs w:val="20"/>
        </w:rPr>
        <w:t>i</w:t>
      </w:r>
      <w:r w:rsidRPr="00143C92">
        <w:rPr>
          <w:rFonts w:ascii="Century Gothic" w:hAnsi="Century Gothic" w:cs="Arial"/>
          <w:sz w:val="20"/>
          <w:szCs w:val="20"/>
        </w:rPr>
        <w:t>ntegrated question sets</w:t>
      </w:r>
      <w:r w:rsidR="0096409C" w:rsidRPr="00143C92">
        <w:rPr>
          <w:rFonts w:ascii="Century Gothic" w:hAnsi="Century Gothic" w:cs="Arial"/>
          <w:sz w:val="20"/>
          <w:szCs w:val="20"/>
        </w:rPr>
        <w:t>, and performance tasks</w:t>
      </w:r>
      <w:r w:rsidRPr="00143C92">
        <w:rPr>
          <w:rFonts w:ascii="Century Gothic" w:hAnsi="Century Gothic" w:cs="Arial"/>
          <w:sz w:val="20"/>
          <w:szCs w:val="20"/>
        </w:rPr>
        <w:t>.</w:t>
      </w:r>
    </w:p>
    <w:p w14:paraId="52564E19" w14:textId="77777777" w:rsidR="00CB2709" w:rsidRPr="00143C92" w:rsidRDefault="00CB2709" w:rsidP="00CB2709">
      <w:pPr>
        <w:spacing w:after="0" w:line="240" w:lineRule="auto"/>
        <w:rPr>
          <w:rFonts w:ascii="Century Gothic" w:hAnsi="Century Gothic" w:cs="Arial"/>
          <w:sz w:val="20"/>
          <w:szCs w:val="20"/>
        </w:rPr>
      </w:pPr>
    </w:p>
    <w:p w14:paraId="79E85366" w14:textId="58C51129" w:rsidR="00CB2709" w:rsidRPr="00143C92" w:rsidRDefault="00363D1E" w:rsidP="00CB2709">
      <w:pPr>
        <w:spacing w:after="0" w:line="240" w:lineRule="auto"/>
        <w:jc w:val="center"/>
        <w:rPr>
          <w:rFonts w:ascii="Century Gothic" w:hAnsi="Century Gothic" w:cs="Arial"/>
          <w:b/>
          <w:bCs/>
          <w:color w:val="002060"/>
        </w:rPr>
      </w:pPr>
      <w:r w:rsidRPr="00143C92">
        <w:rPr>
          <w:rFonts w:ascii="Century Gothic" w:hAnsi="Century Gothic" w:cs="Arial"/>
          <w:b/>
          <w:bCs/>
          <w:color w:val="002060"/>
        </w:rPr>
        <w:t>About</w:t>
      </w:r>
      <w:r w:rsidR="00CB2709" w:rsidRPr="00143C92">
        <w:rPr>
          <w:rFonts w:ascii="Century Gothic" w:hAnsi="Century Gothic" w:cs="Arial"/>
          <w:b/>
          <w:bCs/>
          <w:color w:val="002060"/>
        </w:rPr>
        <w:t xml:space="preserve"> the Legacy Uniform Bar </w:t>
      </w:r>
      <w:r w:rsidRPr="00143C92">
        <w:rPr>
          <w:rFonts w:ascii="Century Gothic" w:hAnsi="Century Gothic" w:cs="Arial"/>
          <w:b/>
          <w:bCs/>
          <w:color w:val="002060"/>
        </w:rPr>
        <w:t>Exam</w:t>
      </w:r>
    </w:p>
    <w:p w14:paraId="702B0696" w14:textId="77777777" w:rsidR="00CB2709" w:rsidRPr="00143C92" w:rsidRDefault="00CB2709" w:rsidP="00CB2709">
      <w:pPr>
        <w:spacing w:after="0" w:line="240" w:lineRule="auto"/>
        <w:rPr>
          <w:rFonts w:ascii="Century Gothic" w:hAnsi="Century Gothic" w:cs="Arial"/>
          <w:sz w:val="20"/>
          <w:szCs w:val="20"/>
        </w:rPr>
      </w:pPr>
    </w:p>
    <w:p w14:paraId="591E0089" w14:textId="77777777" w:rsidR="003208BC" w:rsidRPr="00143C92" w:rsidRDefault="00CB2709" w:rsidP="003208BC">
      <w:pPr>
        <w:spacing w:after="0" w:line="240" w:lineRule="auto"/>
        <w:rPr>
          <w:rFonts w:ascii="Century Gothic" w:hAnsi="Century Gothic" w:cs="Arial"/>
          <w:b/>
          <w:bCs/>
          <w:color w:val="0070C0"/>
          <w:sz w:val="20"/>
          <w:szCs w:val="20"/>
        </w:rPr>
      </w:pPr>
      <w:r w:rsidRPr="00143C92">
        <w:rPr>
          <w:rFonts w:ascii="Century Gothic" w:hAnsi="Century Gothic" w:cs="Arial"/>
          <w:b/>
          <w:bCs/>
          <w:color w:val="0070C0"/>
          <w:sz w:val="20"/>
          <w:szCs w:val="20"/>
        </w:rPr>
        <w:t>Exam Details:</w:t>
      </w:r>
    </w:p>
    <w:p w14:paraId="0CBF06BD" w14:textId="77777777" w:rsidR="003208BC" w:rsidRPr="00143C92" w:rsidRDefault="003208BC" w:rsidP="003208BC">
      <w:pPr>
        <w:spacing w:after="0" w:line="240" w:lineRule="auto"/>
        <w:rPr>
          <w:rFonts w:ascii="Century Gothic" w:hAnsi="Century Gothic" w:cs="Arial"/>
          <w:b/>
          <w:bCs/>
          <w:color w:val="0070C0"/>
          <w:sz w:val="20"/>
          <w:szCs w:val="20"/>
        </w:rPr>
      </w:pPr>
    </w:p>
    <w:p w14:paraId="704061DF" w14:textId="6F077922" w:rsidR="00CB2709" w:rsidRPr="00143C92" w:rsidRDefault="00CB2709" w:rsidP="003208BC">
      <w:pPr>
        <w:pStyle w:val="ListParagraph"/>
        <w:numPr>
          <w:ilvl w:val="0"/>
          <w:numId w:val="42"/>
        </w:numPr>
        <w:spacing w:after="0" w:line="240" w:lineRule="auto"/>
        <w:rPr>
          <w:rFonts w:ascii="Century Gothic" w:hAnsi="Century Gothic" w:cs="Arial"/>
          <w:sz w:val="20"/>
          <w:szCs w:val="20"/>
        </w:rPr>
      </w:pPr>
      <w:r w:rsidRPr="00143C92">
        <w:rPr>
          <w:rFonts w:ascii="Century Gothic" w:hAnsi="Century Gothic" w:cs="Arial"/>
          <w:b/>
          <w:bCs/>
          <w:sz w:val="20"/>
          <w:szCs w:val="20"/>
        </w:rPr>
        <w:t>Administration:</w:t>
      </w:r>
      <w:r w:rsidRPr="00143C92">
        <w:rPr>
          <w:rFonts w:ascii="Century Gothic" w:hAnsi="Century Gothic" w:cs="Arial"/>
          <w:sz w:val="20"/>
          <w:szCs w:val="20"/>
        </w:rPr>
        <w:t> Twice annually (February and July).</w:t>
      </w:r>
      <w:r w:rsidR="003208BC" w:rsidRPr="00143C92">
        <w:rPr>
          <w:rFonts w:ascii="Century Gothic" w:hAnsi="Century Gothic" w:cs="Arial"/>
          <w:sz w:val="20"/>
          <w:szCs w:val="20"/>
        </w:rPr>
        <w:t xml:space="preserve"> Final administration is February 2028.</w:t>
      </w:r>
    </w:p>
    <w:p w14:paraId="45B59249" w14:textId="77777777" w:rsidR="00363D1E" w:rsidRPr="00143C92" w:rsidRDefault="00CB2709" w:rsidP="00CB2709">
      <w:pPr>
        <w:numPr>
          <w:ilvl w:val="0"/>
          <w:numId w:val="38"/>
        </w:numPr>
        <w:spacing w:after="0" w:line="240" w:lineRule="auto"/>
        <w:rPr>
          <w:rFonts w:ascii="Century Gothic" w:hAnsi="Century Gothic" w:cs="Arial"/>
          <w:sz w:val="20"/>
          <w:szCs w:val="20"/>
        </w:rPr>
      </w:pPr>
      <w:r w:rsidRPr="00143C92">
        <w:rPr>
          <w:rFonts w:ascii="Century Gothic" w:hAnsi="Century Gothic" w:cs="Arial"/>
          <w:b/>
          <w:bCs/>
          <w:sz w:val="20"/>
          <w:szCs w:val="20"/>
        </w:rPr>
        <w:t>Format:</w:t>
      </w:r>
      <w:r w:rsidRPr="00143C92">
        <w:rPr>
          <w:rFonts w:ascii="Century Gothic" w:hAnsi="Century Gothic" w:cs="Arial"/>
          <w:sz w:val="20"/>
          <w:szCs w:val="20"/>
        </w:rPr>
        <w:t xml:space="preserve"> 12 hours over two days. </w:t>
      </w:r>
      <w:r w:rsidR="00363D1E" w:rsidRPr="00143C92">
        <w:rPr>
          <w:rFonts w:ascii="Century Gothic" w:hAnsi="Century Gothic" w:cs="Arial"/>
          <w:sz w:val="20"/>
          <w:szCs w:val="20"/>
        </w:rPr>
        <w:t xml:space="preserve">Administered </w:t>
      </w:r>
      <w:r w:rsidRPr="00143C92">
        <w:rPr>
          <w:rFonts w:ascii="Century Gothic" w:hAnsi="Century Gothic" w:cs="Arial"/>
          <w:sz w:val="20"/>
          <w:szCs w:val="20"/>
        </w:rPr>
        <w:t>In</w:t>
      </w:r>
      <w:r w:rsidR="00363D1E" w:rsidRPr="00143C92">
        <w:rPr>
          <w:rFonts w:ascii="Century Gothic" w:hAnsi="Century Gothic" w:cs="Arial"/>
          <w:sz w:val="20"/>
          <w:szCs w:val="20"/>
        </w:rPr>
        <w:t xml:space="preserve"> </w:t>
      </w:r>
      <w:r w:rsidRPr="00143C92">
        <w:rPr>
          <w:rFonts w:ascii="Century Gothic" w:hAnsi="Century Gothic" w:cs="Arial"/>
          <w:sz w:val="20"/>
          <w:szCs w:val="20"/>
        </w:rPr>
        <w:t>person at jurisdiction-managed sites.</w:t>
      </w:r>
    </w:p>
    <w:p w14:paraId="70F78A64" w14:textId="1CC7B5F8" w:rsidR="00CB2709" w:rsidRPr="00143C92" w:rsidRDefault="00363D1E" w:rsidP="00CB2709">
      <w:pPr>
        <w:numPr>
          <w:ilvl w:val="0"/>
          <w:numId w:val="38"/>
        </w:numPr>
        <w:spacing w:after="0" w:line="240" w:lineRule="auto"/>
        <w:rPr>
          <w:rFonts w:ascii="Century Gothic" w:hAnsi="Century Gothic" w:cs="Arial"/>
          <w:sz w:val="20"/>
          <w:szCs w:val="20"/>
        </w:rPr>
      </w:pPr>
      <w:r w:rsidRPr="00143C92">
        <w:rPr>
          <w:rFonts w:ascii="Century Gothic" w:hAnsi="Century Gothic" w:cs="Arial"/>
          <w:b/>
          <w:bCs/>
          <w:sz w:val="20"/>
          <w:szCs w:val="20"/>
        </w:rPr>
        <w:t>Question Types:</w:t>
      </w:r>
      <w:r w:rsidR="7C1F0FFE" w:rsidRPr="00143C92">
        <w:rPr>
          <w:rFonts w:ascii="Century Gothic" w:hAnsi="Century Gothic" w:cs="Arial"/>
          <w:sz w:val="20"/>
          <w:szCs w:val="20"/>
        </w:rPr>
        <w:t xml:space="preserve"> </w:t>
      </w:r>
    </w:p>
    <w:p w14:paraId="4D85D834" w14:textId="47EF9DB5" w:rsidR="7C1F0FFE" w:rsidRPr="00143C92" w:rsidRDefault="7C1F0FFE" w:rsidP="5EEA7C27">
      <w:pPr>
        <w:numPr>
          <w:ilvl w:val="1"/>
          <w:numId w:val="38"/>
        </w:numPr>
        <w:spacing w:after="0" w:line="240" w:lineRule="auto"/>
        <w:rPr>
          <w:rFonts w:ascii="Century Gothic" w:hAnsi="Century Gothic" w:cs="Arial"/>
          <w:sz w:val="20"/>
          <w:szCs w:val="20"/>
        </w:rPr>
      </w:pPr>
      <w:hyperlink r:id="rId17">
        <w:r w:rsidRPr="00143C92">
          <w:rPr>
            <w:rStyle w:val="Hyperlink"/>
            <w:rFonts w:ascii="Century Gothic" w:hAnsi="Century Gothic" w:cs="Arial"/>
            <w:sz w:val="20"/>
            <w:szCs w:val="20"/>
          </w:rPr>
          <w:t>Multistate Essay Examination (MEE)</w:t>
        </w:r>
      </w:hyperlink>
    </w:p>
    <w:p w14:paraId="48C5A33D" w14:textId="6218E6B0" w:rsidR="7C1F0FFE" w:rsidRPr="00143C92" w:rsidRDefault="7C1F0FFE" w:rsidP="5EEA7C27">
      <w:pPr>
        <w:numPr>
          <w:ilvl w:val="1"/>
          <w:numId w:val="38"/>
        </w:numPr>
        <w:spacing w:after="0" w:line="240" w:lineRule="auto"/>
        <w:rPr>
          <w:rFonts w:ascii="Century Gothic" w:hAnsi="Century Gothic" w:cs="Arial"/>
          <w:sz w:val="20"/>
          <w:szCs w:val="20"/>
        </w:rPr>
      </w:pPr>
      <w:hyperlink r:id="rId18">
        <w:r w:rsidRPr="00143C92">
          <w:rPr>
            <w:rStyle w:val="Hyperlink"/>
            <w:rFonts w:ascii="Century Gothic" w:hAnsi="Century Gothic" w:cs="Arial"/>
            <w:sz w:val="20"/>
            <w:szCs w:val="20"/>
          </w:rPr>
          <w:t>Multistate Performance Test (MPT)</w:t>
        </w:r>
      </w:hyperlink>
    </w:p>
    <w:p w14:paraId="16829672" w14:textId="782C2741" w:rsidR="7C1F0FFE" w:rsidRPr="00143C92" w:rsidRDefault="7C1F0FFE" w:rsidP="5EEA7C27">
      <w:pPr>
        <w:numPr>
          <w:ilvl w:val="1"/>
          <w:numId w:val="38"/>
        </w:numPr>
        <w:spacing w:after="0" w:line="240" w:lineRule="auto"/>
        <w:rPr>
          <w:rFonts w:ascii="Century Gothic" w:hAnsi="Century Gothic" w:cs="Arial"/>
          <w:sz w:val="20"/>
          <w:szCs w:val="20"/>
        </w:rPr>
      </w:pPr>
      <w:hyperlink r:id="rId19">
        <w:r w:rsidRPr="00143C92">
          <w:rPr>
            <w:rStyle w:val="Hyperlink"/>
            <w:rFonts w:ascii="Century Gothic" w:hAnsi="Century Gothic" w:cs="Arial"/>
            <w:sz w:val="20"/>
            <w:szCs w:val="20"/>
          </w:rPr>
          <w:t>Multistate Bar Examination (MBE)</w:t>
        </w:r>
      </w:hyperlink>
    </w:p>
    <w:p w14:paraId="63850B32" w14:textId="0D1CFADD" w:rsidR="00CB2709" w:rsidRPr="00143C92" w:rsidRDefault="00CB2709" w:rsidP="00CB2709">
      <w:pPr>
        <w:numPr>
          <w:ilvl w:val="0"/>
          <w:numId w:val="38"/>
        </w:numPr>
        <w:spacing w:after="0" w:line="240" w:lineRule="auto"/>
        <w:rPr>
          <w:rFonts w:ascii="Century Gothic" w:hAnsi="Century Gothic" w:cs="Arial"/>
          <w:sz w:val="20"/>
          <w:szCs w:val="20"/>
        </w:rPr>
      </w:pPr>
      <w:r w:rsidRPr="00143C92">
        <w:rPr>
          <w:rFonts w:ascii="Century Gothic" w:hAnsi="Century Gothic" w:cs="Arial"/>
          <w:b/>
          <w:bCs/>
          <w:sz w:val="20"/>
          <w:szCs w:val="20"/>
        </w:rPr>
        <w:t>Delivery:</w:t>
      </w:r>
      <w:r w:rsidRPr="00143C92">
        <w:rPr>
          <w:rFonts w:ascii="Century Gothic" w:hAnsi="Century Gothic" w:cs="Arial"/>
          <w:sz w:val="20"/>
          <w:szCs w:val="20"/>
        </w:rPr>
        <w:t> </w:t>
      </w:r>
      <w:r w:rsidR="00363D1E" w:rsidRPr="00143C92">
        <w:rPr>
          <w:rFonts w:ascii="Century Gothic" w:hAnsi="Century Gothic" w:cs="Arial"/>
          <w:sz w:val="20"/>
          <w:szCs w:val="20"/>
        </w:rPr>
        <w:t>Exam is administered using printed exam booklets. Examinees may choose to use their laptops to answer the MEE and MPT. For the MBE, answers are submitted on Scantron forms.</w:t>
      </w:r>
    </w:p>
    <w:p w14:paraId="020B7A86" w14:textId="489545DC" w:rsidR="00CB2709" w:rsidRPr="00143C92" w:rsidRDefault="00CB2709" w:rsidP="00E37FA3">
      <w:pPr>
        <w:pStyle w:val="ListParagraph"/>
        <w:numPr>
          <w:ilvl w:val="0"/>
          <w:numId w:val="38"/>
        </w:numPr>
        <w:spacing w:after="0" w:line="240" w:lineRule="auto"/>
        <w:rPr>
          <w:rFonts w:ascii="Century Gothic" w:hAnsi="Century Gothic" w:cs="Arial"/>
          <w:sz w:val="20"/>
          <w:szCs w:val="20"/>
        </w:rPr>
      </w:pPr>
      <w:r w:rsidRPr="00143C92">
        <w:rPr>
          <w:rFonts w:ascii="Century Gothic" w:hAnsi="Century Gothic" w:cs="Arial"/>
          <w:b/>
          <w:bCs/>
          <w:sz w:val="20"/>
          <w:szCs w:val="20"/>
        </w:rPr>
        <w:t>Subjects Tested:</w:t>
      </w:r>
      <w:r w:rsidRPr="00143C92">
        <w:rPr>
          <w:rFonts w:ascii="Century Gothic" w:hAnsi="Century Gothic" w:cs="Arial"/>
          <w:sz w:val="20"/>
          <w:szCs w:val="20"/>
        </w:rPr>
        <w:t> Business associations, civil procedure, constitutional law, contract law, criminal law, evidence, real property, and torts.</w:t>
      </w:r>
      <w:r w:rsidR="00143C92" w:rsidRPr="00143C92">
        <w:rPr>
          <w:rFonts w:ascii="Century Gothic" w:hAnsi="Century Gothic" w:cs="Arial"/>
          <w:sz w:val="20"/>
          <w:szCs w:val="20"/>
        </w:rPr>
        <w:t xml:space="preserve"> </w:t>
      </w:r>
      <w:r w:rsidR="00143C92" w:rsidRPr="00143C92">
        <w:rPr>
          <w:rFonts w:ascii="Century Gothic" w:hAnsi="Century Gothic" w:cs="Arial"/>
          <w:sz w:val="20"/>
          <w:szCs w:val="20"/>
          <w:u w:val="single"/>
        </w:rPr>
        <w:t>Through February 2026 only</w:t>
      </w:r>
      <w:r w:rsidR="00143C92" w:rsidRPr="00143C92">
        <w:rPr>
          <w:rFonts w:ascii="Century Gothic" w:hAnsi="Century Gothic" w:cs="Arial"/>
          <w:sz w:val="20"/>
          <w:szCs w:val="20"/>
        </w:rPr>
        <w:t xml:space="preserve">, the legacy UBE will also test conflict of laws, family law, trusts and estates, and secured transactions. </w:t>
      </w:r>
    </w:p>
    <w:p w14:paraId="0D6815BD" w14:textId="0EDFC49D" w:rsidR="00CB2709" w:rsidRPr="00143C92" w:rsidRDefault="00CB2709" w:rsidP="00CB2709">
      <w:pPr>
        <w:numPr>
          <w:ilvl w:val="0"/>
          <w:numId w:val="38"/>
        </w:numPr>
        <w:spacing w:after="0" w:line="240" w:lineRule="auto"/>
        <w:rPr>
          <w:rFonts w:ascii="Century Gothic" w:hAnsi="Century Gothic" w:cs="Arial"/>
          <w:sz w:val="20"/>
          <w:szCs w:val="20"/>
        </w:rPr>
      </w:pPr>
      <w:r w:rsidRPr="00143C92">
        <w:rPr>
          <w:rFonts w:ascii="Century Gothic" w:hAnsi="Century Gothic" w:cs="Arial"/>
          <w:b/>
          <w:bCs/>
          <w:sz w:val="20"/>
          <w:szCs w:val="20"/>
        </w:rPr>
        <w:t>Skills Tested:</w:t>
      </w:r>
      <w:r w:rsidRPr="00143C92">
        <w:rPr>
          <w:rFonts w:ascii="Century Gothic" w:hAnsi="Century Gothic" w:cs="Arial"/>
          <w:sz w:val="20"/>
          <w:szCs w:val="20"/>
        </w:rPr>
        <w:t> Issue spotting, legal analysis</w:t>
      </w:r>
      <w:r w:rsidR="00603C48" w:rsidRPr="00143C92">
        <w:rPr>
          <w:rFonts w:ascii="Century Gothic" w:hAnsi="Century Gothic" w:cs="Arial"/>
          <w:sz w:val="20"/>
          <w:szCs w:val="20"/>
        </w:rPr>
        <w:t xml:space="preserve"> and reasoning</w:t>
      </w:r>
      <w:r w:rsidRPr="00143C92">
        <w:rPr>
          <w:rFonts w:ascii="Century Gothic" w:hAnsi="Century Gothic" w:cs="Arial"/>
          <w:sz w:val="20"/>
          <w:szCs w:val="20"/>
        </w:rPr>
        <w:t xml:space="preserve">, factual analysis, communication, </w:t>
      </w:r>
      <w:r w:rsidR="00603C48" w:rsidRPr="00143C92">
        <w:rPr>
          <w:rFonts w:ascii="Century Gothic" w:hAnsi="Century Gothic" w:cs="Arial"/>
          <w:sz w:val="20"/>
          <w:szCs w:val="20"/>
        </w:rPr>
        <w:t xml:space="preserve">organization and management of a legal </w:t>
      </w:r>
      <w:r w:rsidRPr="00143C92">
        <w:rPr>
          <w:rFonts w:ascii="Century Gothic" w:hAnsi="Century Gothic" w:cs="Arial"/>
          <w:sz w:val="20"/>
          <w:szCs w:val="20"/>
        </w:rPr>
        <w:t>task</w:t>
      </w:r>
      <w:r w:rsidR="00603C48" w:rsidRPr="00143C92">
        <w:rPr>
          <w:rFonts w:ascii="Century Gothic" w:hAnsi="Century Gothic" w:cs="Arial"/>
          <w:sz w:val="20"/>
          <w:szCs w:val="20"/>
        </w:rPr>
        <w:t>,</w:t>
      </w:r>
      <w:r w:rsidRPr="00143C92">
        <w:rPr>
          <w:rFonts w:ascii="Century Gothic" w:hAnsi="Century Gothic" w:cs="Arial"/>
          <w:sz w:val="20"/>
          <w:szCs w:val="20"/>
        </w:rPr>
        <w:t xml:space="preserve"> and </w:t>
      </w:r>
      <w:r w:rsidR="00603C48" w:rsidRPr="00143C92">
        <w:rPr>
          <w:rFonts w:ascii="Century Gothic" w:hAnsi="Century Gothic" w:cs="Arial"/>
          <w:sz w:val="20"/>
          <w:szCs w:val="20"/>
        </w:rPr>
        <w:t>recognizing and resolving legal dilemmas</w:t>
      </w:r>
      <w:r w:rsidRPr="00143C92">
        <w:rPr>
          <w:rFonts w:ascii="Century Gothic" w:hAnsi="Century Gothic" w:cs="Arial"/>
          <w:sz w:val="20"/>
          <w:szCs w:val="20"/>
        </w:rPr>
        <w:t>.</w:t>
      </w:r>
    </w:p>
    <w:p w14:paraId="05CA9AFA" w14:textId="45CC6930" w:rsidR="00CB2709" w:rsidRPr="00143C92" w:rsidRDefault="00CB2709" w:rsidP="00E52365">
      <w:pPr>
        <w:numPr>
          <w:ilvl w:val="0"/>
          <w:numId w:val="38"/>
        </w:numPr>
        <w:spacing w:after="0" w:line="240" w:lineRule="auto"/>
        <w:rPr>
          <w:rFonts w:ascii="Century Gothic" w:hAnsi="Century Gothic" w:cs="Arial"/>
          <w:sz w:val="20"/>
          <w:szCs w:val="20"/>
        </w:rPr>
      </w:pPr>
      <w:r w:rsidRPr="00143C92">
        <w:rPr>
          <w:rFonts w:ascii="Century Gothic" w:hAnsi="Century Gothic" w:cs="Arial"/>
          <w:b/>
          <w:bCs/>
          <w:sz w:val="20"/>
          <w:szCs w:val="20"/>
        </w:rPr>
        <w:t>Scoring:</w:t>
      </w:r>
      <w:r w:rsidRPr="00143C92">
        <w:rPr>
          <w:rFonts w:ascii="Century Gothic" w:hAnsi="Century Gothic" w:cs="Arial"/>
          <w:sz w:val="20"/>
          <w:szCs w:val="20"/>
        </w:rPr>
        <w:t> NCBE grades multiple-choice</w:t>
      </w:r>
      <w:r w:rsidR="00363D1E" w:rsidRPr="00143C92">
        <w:rPr>
          <w:rFonts w:ascii="Century Gothic" w:hAnsi="Century Gothic" w:cs="Arial"/>
          <w:sz w:val="20"/>
          <w:szCs w:val="20"/>
        </w:rPr>
        <w:t xml:space="preserve"> questions</w:t>
      </w:r>
      <w:r w:rsidRPr="00143C92">
        <w:rPr>
          <w:rFonts w:ascii="Century Gothic" w:hAnsi="Century Gothic" w:cs="Arial"/>
          <w:sz w:val="20"/>
          <w:szCs w:val="20"/>
        </w:rPr>
        <w:t xml:space="preserve">; jurisdictions grade written components. </w:t>
      </w:r>
    </w:p>
    <w:p w14:paraId="77BA5456" w14:textId="07C21F2E" w:rsidR="00363D1E" w:rsidRPr="00143C92" w:rsidRDefault="00363D1E" w:rsidP="00E52365">
      <w:pPr>
        <w:numPr>
          <w:ilvl w:val="0"/>
          <w:numId w:val="38"/>
        </w:numPr>
        <w:spacing w:after="0" w:line="240" w:lineRule="auto"/>
        <w:rPr>
          <w:rFonts w:ascii="Century Gothic" w:hAnsi="Century Gothic" w:cs="Arial"/>
          <w:sz w:val="20"/>
          <w:szCs w:val="20"/>
        </w:rPr>
      </w:pPr>
      <w:r w:rsidRPr="00143C92">
        <w:rPr>
          <w:rFonts w:ascii="Century Gothic" w:hAnsi="Century Gothic" w:cs="Arial"/>
          <w:b/>
          <w:bCs/>
          <w:sz w:val="20"/>
          <w:szCs w:val="20"/>
        </w:rPr>
        <w:t>Portability:</w:t>
      </w:r>
      <w:r w:rsidRPr="00143C92">
        <w:rPr>
          <w:rFonts w:ascii="Century Gothic" w:hAnsi="Century Gothic" w:cs="Arial"/>
          <w:sz w:val="20"/>
          <w:szCs w:val="20"/>
        </w:rPr>
        <w:t xml:space="preserve"> Scores earned on the legacy UBE are portable to other legacy UBE jurisdictions.</w:t>
      </w:r>
    </w:p>
    <w:p w14:paraId="6E4BCAD4" w14:textId="77777777" w:rsidR="003208BC" w:rsidRPr="00143C92" w:rsidRDefault="003208BC" w:rsidP="003208BC">
      <w:pPr>
        <w:spacing w:after="0" w:line="240" w:lineRule="auto"/>
        <w:rPr>
          <w:rFonts w:ascii="Century Gothic" w:hAnsi="Century Gothic" w:cs="Arial"/>
          <w:sz w:val="20"/>
          <w:szCs w:val="20"/>
        </w:rPr>
      </w:pPr>
    </w:p>
    <w:p w14:paraId="5E7D57AA" w14:textId="19C46193" w:rsidR="003208BC" w:rsidRPr="00143C92" w:rsidRDefault="003208BC" w:rsidP="003208BC">
      <w:pPr>
        <w:spacing w:after="0" w:line="240" w:lineRule="auto"/>
        <w:rPr>
          <w:rFonts w:ascii="Century Gothic" w:hAnsi="Century Gothic" w:cs="Arial"/>
          <w:sz w:val="20"/>
          <w:szCs w:val="20"/>
        </w:rPr>
      </w:pPr>
      <w:r w:rsidRPr="00143C92">
        <w:rPr>
          <w:rFonts w:ascii="Century Gothic" w:hAnsi="Century Gothic" w:cs="Arial"/>
          <w:sz w:val="20"/>
          <w:szCs w:val="20"/>
        </w:rPr>
        <w:t>Scroll down for helpful links and resources.</w:t>
      </w:r>
    </w:p>
    <w:p w14:paraId="79E9064D" w14:textId="77777777" w:rsidR="00CB2709" w:rsidRPr="00143C92" w:rsidRDefault="00CB2709" w:rsidP="00CB2709">
      <w:pPr>
        <w:spacing w:after="0" w:line="240" w:lineRule="auto"/>
        <w:rPr>
          <w:rFonts w:ascii="Century Gothic" w:hAnsi="Century Gothic" w:cs="Arial"/>
          <w:sz w:val="20"/>
          <w:szCs w:val="20"/>
        </w:rPr>
      </w:pPr>
    </w:p>
    <w:p w14:paraId="197E4DBD" w14:textId="4EEFAC7A" w:rsidR="00CB2709" w:rsidRPr="00143C92" w:rsidRDefault="003208BC" w:rsidP="00CB2709">
      <w:pPr>
        <w:spacing w:after="0" w:line="240" w:lineRule="auto"/>
        <w:jc w:val="center"/>
        <w:rPr>
          <w:rFonts w:ascii="Century Gothic" w:hAnsi="Century Gothic" w:cs="Arial"/>
          <w:b/>
          <w:bCs/>
          <w:color w:val="002060"/>
        </w:rPr>
      </w:pPr>
      <w:r w:rsidRPr="00143C92">
        <w:rPr>
          <w:rFonts w:ascii="Century Gothic" w:hAnsi="Century Gothic" w:cs="Arial"/>
          <w:b/>
          <w:bCs/>
          <w:color w:val="002060"/>
        </w:rPr>
        <w:t>About</w:t>
      </w:r>
      <w:r w:rsidR="00CB2709" w:rsidRPr="00143C92">
        <w:rPr>
          <w:rFonts w:ascii="Century Gothic" w:hAnsi="Century Gothic" w:cs="Arial"/>
          <w:b/>
          <w:bCs/>
          <w:color w:val="002060"/>
        </w:rPr>
        <w:t xml:space="preserve"> the NextGen Uniform Bar Exam</w:t>
      </w:r>
    </w:p>
    <w:p w14:paraId="72A6148C" w14:textId="77777777" w:rsidR="00CB2709" w:rsidRPr="00143C92" w:rsidRDefault="00CB2709" w:rsidP="00CB2709">
      <w:pPr>
        <w:spacing w:after="0" w:line="240" w:lineRule="auto"/>
        <w:rPr>
          <w:rFonts w:ascii="Century Gothic" w:hAnsi="Century Gothic" w:cs="Arial"/>
          <w:sz w:val="20"/>
          <w:szCs w:val="20"/>
        </w:rPr>
      </w:pPr>
    </w:p>
    <w:p w14:paraId="1D78FACB" w14:textId="29F8E4FC" w:rsidR="00CB2709" w:rsidRPr="00143C92" w:rsidRDefault="4FFEF963" w:rsidP="00CB2709">
      <w:pPr>
        <w:spacing w:after="0" w:line="240" w:lineRule="auto"/>
        <w:rPr>
          <w:rFonts w:ascii="Century Gothic" w:hAnsi="Century Gothic" w:cs="Arial"/>
          <w:sz w:val="20"/>
          <w:szCs w:val="20"/>
        </w:rPr>
      </w:pPr>
      <w:r w:rsidRPr="00143C92">
        <w:rPr>
          <w:rFonts w:ascii="Century Gothic" w:hAnsi="Century Gothic" w:cs="Arial"/>
          <w:sz w:val="20"/>
          <w:szCs w:val="20"/>
        </w:rPr>
        <w:t xml:space="preserve">The NextGen UBE will be administered by </w:t>
      </w:r>
      <w:r w:rsidR="1E51717C" w:rsidRPr="00143C92">
        <w:rPr>
          <w:rFonts w:ascii="Century Gothic" w:hAnsi="Century Gothic" w:cs="Arial"/>
          <w:sz w:val="20"/>
          <w:szCs w:val="20"/>
        </w:rPr>
        <w:t>select</w:t>
      </w:r>
      <w:r w:rsidRPr="00143C92">
        <w:rPr>
          <w:rFonts w:ascii="Century Gothic" w:hAnsi="Century Gothic" w:cs="Arial"/>
          <w:sz w:val="20"/>
          <w:szCs w:val="20"/>
        </w:rPr>
        <w:t xml:space="preserve"> jurisdictions</w:t>
      </w:r>
      <w:r w:rsidR="003208BC" w:rsidRPr="00143C92">
        <w:rPr>
          <w:rFonts w:ascii="Century Gothic" w:hAnsi="Century Gothic" w:cs="Arial"/>
          <w:sz w:val="20"/>
          <w:szCs w:val="20"/>
        </w:rPr>
        <w:t xml:space="preserve"> starting</w:t>
      </w:r>
      <w:r w:rsidRPr="00143C92">
        <w:rPr>
          <w:rFonts w:ascii="Century Gothic" w:hAnsi="Century Gothic" w:cs="Arial"/>
          <w:sz w:val="20"/>
          <w:szCs w:val="20"/>
        </w:rPr>
        <w:t xml:space="preserve"> in July 2026, with more to follow </w:t>
      </w:r>
      <w:r w:rsidR="0CB2525F" w:rsidRPr="00143C92">
        <w:rPr>
          <w:rFonts w:ascii="Century Gothic" w:hAnsi="Century Gothic" w:cs="Arial"/>
          <w:sz w:val="20"/>
          <w:szCs w:val="20"/>
        </w:rPr>
        <w:t>during each successive administration.</w:t>
      </w:r>
    </w:p>
    <w:p w14:paraId="0ECA7AE0" w14:textId="77777777" w:rsidR="00CB2709" w:rsidRPr="00143C92" w:rsidRDefault="00CB2709" w:rsidP="00CB2709">
      <w:pPr>
        <w:spacing w:after="0" w:line="240" w:lineRule="auto"/>
        <w:rPr>
          <w:rFonts w:ascii="Century Gothic" w:hAnsi="Century Gothic" w:cs="Arial"/>
          <w:sz w:val="20"/>
          <w:szCs w:val="20"/>
        </w:rPr>
      </w:pPr>
    </w:p>
    <w:p w14:paraId="3E3B14F8" w14:textId="77777777" w:rsidR="003208BC" w:rsidRPr="00143C92" w:rsidRDefault="003208BC" w:rsidP="003208BC">
      <w:pPr>
        <w:spacing w:after="0" w:line="240" w:lineRule="auto"/>
        <w:rPr>
          <w:rFonts w:ascii="Century Gothic" w:hAnsi="Century Gothic" w:cs="Arial"/>
          <w:b/>
          <w:bCs/>
          <w:color w:val="0070C0"/>
          <w:sz w:val="20"/>
          <w:szCs w:val="20"/>
        </w:rPr>
      </w:pPr>
      <w:r w:rsidRPr="00143C92">
        <w:rPr>
          <w:rFonts w:ascii="Century Gothic" w:hAnsi="Century Gothic" w:cs="Arial"/>
          <w:b/>
          <w:bCs/>
          <w:color w:val="0070C0"/>
          <w:sz w:val="20"/>
          <w:szCs w:val="20"/>
        </w:rPr>
        <w:t>Exam Details:</w:t>
      </w:r>
    </w:p>
    <w:p w14:paraId="7BA03220" w14:textId="77777777" w:rsidR="003208BC" w:rsidRPr="00143C92" w:rsidRDefault="003208BC" w:rsidP="003208BC">
      <w:pPr>
        <w:spacing w:after="0" w:line="240" w:lineRule="auto"/>
        <w:rPr>
          <w:rFonts w:ascii="Century Gothic" w:hAnsi="Century Gothic" w:cs="Arial"/>
          <w:b/>
          <w:bCs/>
          <w:color w:val="0070C0"/>
          <w:sz w:val="20"/>
          <w:szCs w:val="20"/>
        </w:rPr>
      </w:pPr>
    </w:p>
    <w:p w14:paraId="5C5AB8B2" w14:textId="7A99FE04" w:rsidR="00CB2709" w:rsidRPr="00143C92" w:rsidRDefault="00CB2709" w:rsidP="00CB2709">
      <w:pPr>
        <w:numPr>
          <w:ilvl w:val="0"/>
          <w:numId w:val="39"/>
        </w:numPr>
        <w:spacing w:after="0" w:line="240" w:lineRule="auto"/>
        <w:rPr>
          <w:rFonts w:ascii="Century Gothic" w:hAnsi="Century Gothic" w:cs="Arial"/>
          <w:sz w:val="20"/>
          <w:szCs w:val="20"/>
        </w:rPr>
      </w:pPr>
      <w:r w:rsidRPr="00143C92">
        <w:rPr>
          <w:rFonts w:ascii="Century Gothic" w:hAnsi="Century Gothic" w:cs="Arial"/>
          <w:b/>
          <w:bCs/>
          <w:sz w:val="20"/>
          <w:szCs w:val="20"/>
        </w:rPr>
        <w:t>Administration:</w:t>
      </w:r>
      <w:r w:rsidRPr="00143C92">
        <w:rPr>
          <w:rFonts w:ascii="Century Gothic" w:hAnsi="Century Gothic" w:cs="Arial"/>
          <w:sz w:val="20"/>
          <w:szCs w:val="20"/>
        </w:rPr>
        <w:t> Twice annually (February and July).</w:t>
      </w:r>
      <w:r w:rsidR="003208BC" w:rsidRPr="00143C92">
        <w:rPr>
          <w:rFonts w:ascii="Century Gothic" w:hAnsi="Century Gothic" w:cs="Arial"/>
          <w:sz w:val="20"/>
          <w:szCs w:val="20"/>
        </w:rPr>
        <w:t xml:space="preserve"> First administration is July 2026 (select jurisdictions)</w:t>
      </w:r>
      <w:r w:rsidR="00143C92" w:rsidRPr="00143C92">
        <w:rPr>
          <w:rFonts w:ascii="Century Gothic" w:hAnsi="Century Gothic" w:cs="Arial"/>
          <w:sz w:val="20"/>
          <w:szCs w:val="20"/>
        </w:rPr>
        <w:t>.</w:t>
      </w:r>
    </w:p>
    <w:p w14:paraId="1F6C6387" w14:textId="77777777" w:rsidR="00CB2709" w:rsidRPr="00143C92" w:rsidRDefault="00CB2709" w:rsidP="00CB2709">
      <w:pPr>
        <w:numPr>
          <w:ilvl w:val="0"/>
          <w:numId w:val="39"/>
        </w:numPr>
        <w:spacing w:after="0" w:line="240" w:lineRule="auto"/>
        <w:rPr>
          <w:rFonts w:ascii="Century Gothic" w:hAnsi="Century Gothic" w:cs="Arial"/>
          <w:sz w:val="20"/>
          <w:szCs w:val="20"/>
        </w:rPr>
      </w:pPr>
      <w:r w:rsidRPr="00143C92">
        <w:rPr>
          <w:rFonts w:ascii="Century Gothic" w:hAnsi="Century Gothic" w:cs="Arial"/>
          <w:b/>
          <w:bCs/>
          <w:sz w:val="20"/>
          <w:szCs w:val="20"/>
        </w:rPr>
        <w:lastRenderedPageBreak/>
        <w:t>Format:</w:t>
      </w:r>
      <w:r w:rsidRPr="00143C92">
        <w:rPr>
          <w:rFonts w:ascii="Century Gothic" w:hAnsi="Century Gothic" w:cs="Arial"/>
          <w:sz w:val="20"/>
          <w:szCs w:val="20"/>
        </w:rPr>
        <w:t> 9 hours over 1.5 days.</w:t>
      </w:r>
    </w:p>
    <w:p w14:paraId="1C32E3DF" w14:textId="77777777" w:rsidR="00CB2709" w:rsidRPr="00143C92" w:rsidRDefault="00CB2709" w:rsidP="00CB2709">
      <w:pPr>
        <w:numPr>
          <w:ilvl w:val="0"/>
          <w:numId w:val="39"/>
        </w:numPr>
        <w:spacing w:after="0" w:line="240" w:lineRule="auto"/>
        <w:rPr>
          <w:rFonts w:ascii="Century Gothic" w:hAnsi="Century Gothic" w:cs="Arial"/>
          <w:sz w:val="20"/>
          <w:szCs w:val="20"/>
        </w:rPr>
      </w:pPr>
      <w:r w:rsidRPr="00143C92">
        <w:rPr>
          <w:rFonts w:ascii="Century Gothic" w:hAnsi="Century Gothic" w:cs="Arial"/>
          <w:b/>
          <w:bCs/>
          <w:sz w:val="20"/>
          <w:szCs w:val="20"/>
        </w:rPr>
        <w:t>Delivery:</w:t>
      </w:r>
      <w:r w:rsidRPr="00143C92">
        <w:rPr>
          <w:rFonts w:ascii="Century Gothic" w:hAnsi="Century Gothic" w:cs="Arial"/>
          <w:sz w:val="20"/>
          <w:szCs w:val="20"/>
        </w:rPr>
        <w:t> Computer-based, using NCBE's secure testing browser on examinee laptops at jurisdiction-managed sites.</w:t>
      </w:r>
    </w:p>
    <w:p w14:paraId="675CB3D5" w14:textId="77777777" w:rsidR="00CB2709" w:rsidRPr="00143C92" w:rsidRDefault="00CB2709" w:rsidP="00CB2709">
      <w:pPr>
        <w:numPr>
          <w:ilvl w:val="0"/>
          <w:numId w:val="39"/>
        </w:numPr>
        <w:spacing w:after="0" w:line="240" w:lineRule="auto"/>
        <w:rPr>
          <w:rFonts w:ascii="Century Gothic" w:hAnsi="Century Gothic" w:cs="Arial"/>
          <w:sz w:val="20"/>
          <w:szCs w:val="20"/>
        </w:rPr>
      </w:pPr>
      <w:r w:rsidRPr="00143C92">
        <w:rPr>
          <w:rFonts w:ascii="Century Gothic" w:hAnsi="Century Gothic" w:cs="Arial"/>
          <w:b/>
          <w:bCs/>
          <w:sz w:val="20"/>
          <w:szCs w:val="20"/>
        </w:rPr>
        <w:t>Subjects Tested:</w:t>
      </w:r>
      <w:r w:rsidRPr="00143C92">
        <w:rPr>
          <w:rFonts w:ascii="Century Gothic" w:hAnsi="Century Gothic" w:cs="Arial"/>
          <w:sz w:val="20"/>
          <w:szCs w:val="20"/>
        </w:rPr>
        <w:t> Business associations, civil procedure, constitutional law, contract law, criminal law, evidence, real property, and torts.</w:t>
      </w:r>
    </w:p>
    <w:p w14:paraId="6A6BD9B4" w14:textId="16C2ABB1" w:rsidR="00CB2709" w:rsidRPr="00143C92" w:rsidRDefault="00CB2709" w:rsidP="00CB2709">
      <w:pPr>
        <w:numPr>
          <w:ilvl w:val="0"/>
          <w:numId w:val="39"/>
        </w:numPr>
        <w:spacing w:after="0" w:line="240" w:lineRule="auto"/>
        <w:rPr>
          <w:rFonts w:ascii="Century Gothic" w:hAnsi="Century Gothic" w:cs="Arial"/>
          <w:sz w:val="20"/>
          <w:szCs w:val="20"/>
        </w:rPr>
      </w:pPr>
      <w:r w:rsidRPr="00143C92">
        <w:rPr>
          <w:rFonts w:ascii="Century Gothic" w:hAnsi="Century Gothic" w:cs="Arial"/>
          <w:b/>
          <w:bCs/>
          <w:sz w:val="20"/>
          <w:szCs w:val="20"/>
        </w:rPr>
        <w:t>Skills Assessed: </w:t>
      </w:r>
      <w:r w:rsidR="00DD1C0B" w:rsidRPr="00143C92">
        <w:rPr>
          <w:rFonts w:ascii="Century Gothic" w:hAnsi="Century Gothic" w:cs="Arial"/>
          <w:sz w:val="20"/>
          <w:szCs w:val="20"/>
        </w:rPr>
        <w:t>Legal research, legal writing, issue spotting and analysis, investigation and evaluation, client counseling and advising, negotiation and dispute resolution, and client relationship and management</w:t>
      </w:r>
      <w:r w:rsidRPr="00143C92">
        <w:rPr>
          <w:rFonts w:ascii="Century Gothic" w:hAnsi="Century Gothic" w:cs="Arial"/>
          <w:sz w:val="20"/>
          <w:szCs w:val="20"/>
        </w:rPr>
        <w:t>.</w:t>
      </w:r>
    </w:p>
    <w:p w14:paraId="468BBABD" w14:textId="77777777" w:rsidR="00CB2709" w:rsidRPr="00143C92" w:rsidRDefault="00CB2709" w:rsidP="00CB2709">
      <w:pPr>
        <w:numPr>
          <w:ilvl w:val="0"/>
          <w:numId w:val="39"/>
        </w:numPr>
        <w:spacing w:after="0" w:line="240" w:lineRule="auto"/>
        <w:rPr>
          <w:rFonts w:ascii="Century Gothic" w:hAnsi="Century Gothic" w:cs="Arial"/>
          <w:sz w:val="20"/>
          <w:szCs w:val="20"/>
        </w:rPr>
      </w:pPr>
      <w:r w:rsidRPr="00143C92">
        <w:rPr>
          <w:rFonts w:ascii="Century Gothic" w:hAnsi="Century Gothic" w:cs="Arial"/>
          <w:b/>
          <w:bCs/>
          <w:sz w:val="20"/>
          <w:szCs w:val="20"/>
        </w:rPr>
        <w:t>Question Formats:</w:t>
      </w:r>
      <w:r w:rsidRPr="00143C92">
        <w:rPr>
          <w:rFonts w:ascii="Century Gothic" w:hAnsi="Century Gothic" w:cs="Arial"/>
          <w:sz w:val="20"/>
          <w:szCs w:val="20"/>
        </w:rPr>
        <w:t> Multiple-choice questions, integrated question sets (simulating real-world legal tasks), and performance tasks.</w:t>
      </w:r>
    </w:p>
    <w:p w14:paraId="765A22D1" w14:textId="4CE832E3" w:rsidR="00CB2709" w:rsidRPr="00143C92" w:rsidRDefault="00CB2709" w:rsidP="00B63F60">
      <w:pPr>
        <w:numPr>
          <w:ilvl w:val="0"/>
          <w:numId w:val="39"/>
        </w:numPr>
        <w:spacing w:after="0" w:line="240" w:lineRule="auto"/>
        <w:rPr>
          <w:rFonts w:ascii="Century Gothic" w:hAnsi="Century Gothic" w:cs="Arial"/>
          <w:sz w:val="20"/>
          <w:szCs w:val="20"/>
        </w:rPr>
      </w:pPr>
      <w:r w:rsidRPr="00143C92">
        <w:rPr>
          <w:rFonts w:ascii="Century Gothic" w:hAnsi="Century Gothic" w:cs="Arial"/>
          <w:b/>
          <w:bCs/>
          <w:sz w:val="20"/>
          <w:szCs w:val="20"/>
        </w:rPr>
        <w:t>Scoring:</w:t>
      </w:r>
      <w:r w:rsidRPr="00143C92">
        <w:rPr>
          <w:rFonts w:ascii="Century Gothic" w:hAnsi="Century Gothic" w:cs="Arial"/>
          <w:sz w:val="20"/>
          <w:szCs w:val="20"/>
        </w:rPr>
        <w:t xml:space="preserve"> NCBE scores multiple-choice; jurisdictions score written portions. </w:t>
      </w:r>
    </w:p>
    <w:p w14:paraId="0C0A787F" w14:textId="4FA65041" w:rsidR="00143C92" w:rsidRPr="00143C92" w:rsidRDefault="00143C92" w:rsidP="00B63F60">
      <w:pPr>
        <w:numPr>
          <w:ilvl w:val="0"/>
          <w:numId w:val="39"/>
        </w:numPr>
        <w:spacing w:after="0" w:line="240" w:lineRule="auto"/>
        <w:rPr>
          <w:rFonts w:ascii="Century Gothic" w:hAnsi="Century Gothic" w:cs="Arial"/>
          <w:sz w:val="20"/>
          <w:szCs w:val="20"/>
        </w:rPr>
      </w:pPr>
      <w:r w:rsidRPr="00042B6E">
        <w:rPr>
          <w:rFonts w:ascii="Century Gothic" w:hAnsi="Century Gothic" w:cs="Arial"/>
          <w:b/>
          <w:bCs/>
          <w:sz w:val="20"/>
          <w:szCs w:val="20"/>
        </w:rPr>
        <w:t>Portability:</w:t>
      </w:r>
      <w:r w:rsidRPr="00143C92">
        <w:rPr>
          <w:rFonts w:ascii="Century Gothic" w:hAnsi="Century Gothic" w:cs="Arial"/>
          <w:sz w:val="20"/>
          <w:szCs w:val="20"/>
        </w:rPr>
        <w:t xml:space="preserve"> NextGen UBE scores earned in any jurisdiction may be transferred for admission to any other jurisdiction that accepts portable scores.</w:t>
      </w:r>
    </w:p>
    <w:p w14:paraId="4F11626F" w14:textId="77777777" w:rsidR="00143C92" w:rsidRPr="00143C92" w:rsidRDefault="00143C92" w:rsidP="00143C92">
      <w:pPr>
        <w:spacing w:after="0" w:line="240" w:lineRule="auto"/>
        <w:ind w:left="720"/>
        <w:rPr>
          <w:rFonts w:ascii="Century Gothic" w:hAnsi="Century Gothic" w:cs="Arial"/>
          <w:sz w:val="20"/>
          <w:szCs w:val="20"/>
        </w:rPr>
      </w:pPr>
    </w:p>
    <w:p w14:paraId="0FD76D8F" w14:textId="77777777" w:rsidR="003208BC" w:rsidRPr="00143C92" w:rsidRDefault="003208BC" w:rsidP="003208BC">
      <w:pPr>
        <w:spacing w:after="0" w:line="240" w:lineRule="auto"/>
        <w:rPr>
          <w:rFonts w:ascii="Century Gothic" w:hAnsi="Century Gothic" w:cs="Arial"/>
          <w:sz w:val="20"/>
          <w:szCs w:val="20"/>
        </w:rPr>
      </w:pPr>
      <w:r w:rsidRPr="00143C92">
        <w:rPr>
          <w:rFonts w:ascii="Century Gothic" w:hAnsi="Century Gothic" w:cs="Arial"/>
          <w:sz w:val="20"/>
          <w:szCs w:val="20"/>
        </w:rPr>
        <w:t>Scroll down for helpful links and resources.</w:t>
      </w:r>
    </w:p>
    <w:p w14:paraId="59D24D8E" w14:textId="77777777" w:rsidR="003208BC" w:rsidRPr="00143C92" w:rsidRDefault="003208BC" w:rsidP="3DB8B825">
      <w:pPr>
        <w:spacing w:after="0" w:line="240" w:lineRule="auto"/>
        <w:rPr>
          <w:rFonts w:ascii="Century Gothic" w:hAnsi="Century Gothic" w:cs="Arial"/>
          <w:sz w:val="20"/>
          <w:szCs w:val="20"/>
        </w:rPr>
      </w:pPr>
    </w:p>
    <w:p w14:paraId="65CEFA8D" w14:textId="5692D3C0" w:rsidR="3DB8B825" w:rsidRPr="00143C92" w:rsidRDefault="36CF1890" w:rsidP="3DB8B825">
      <w:pPr>
        <w:spacing w:after="0" w:line="240" w:lineRule="auto"/>
        <w:rPr>
          <w:rFonts w:ascii="Century Gothic" w:hAnsi="Century Gothic" w:cs="Arial"/>
          <w:sz w:val="20"/>
          <w:szCs w:val="20"/>
        </w:rPr>
      </w:pPr>
      <w:r w:rsidRPr="00143C92">
        <w:rPr>
          <w:rFonts w:ascii="Century Gothic" w:hAnsi="Century Gothic" w:cs="Arial"/>
          <w:sz w:val="20"/>
          <w:szCs w:val="20"/>
        </w:rPr>
        <w:t xml:space="preserve">For guidance </w:t>
      </w:r>
      <w:r w:rsidR="003208BC" w:rsidRPr="00143C92">
        <w:rPr>
          <w:rFonts w:ascii="Century Gothic" w:hAnsi="Century Gothic" w:cs="Arial"/>
          <w:sz w:val="20"/>
          <w:szCs w:val="20"/>
        </w:rPr>
        <w:t>as to</w:t>
      </w:r>
      <w:r w:rsidRPr="00143C92">
        <w:rPr>
          <w:rFonts w:ascii="Century Gothic" w:hAnsi="Century Gothic" w:cs="Arial"/>
          <w:sz w:val="20"/>
          <w:szCs w:val="20"/>
        </w:rPr>
        <w:t xml:space="preserve"> which exam applies to your </w:t>
      </w:r>
      <w:r w:rsidR="003208BC" w:rsidRPr="00143C92">
        <w:rPr>
          <w:rFonts w:ascii="Century Gothic" w:hAnsi="Century Gothic" w:cs="Arial"/>
          <w:sz w:val="20"/>
          <w:szCs w:val="20"/>
        </w:rPr>
        <w:t>jurisdiction</w:t>
      </w:r>
      <w:r w:rsidRPr="00143C92">
        <w:rPr>
          <w:rFonts w:ascii="Century Gothic" w:hAnsi="Century Gothic" w:cs="Arial"/>
          <w:sz w:val="20"/>
          <w:szCs w:val="20"/>
        </w:rPr>
        <w:t xml:space="preserve"> </w:t>
      </w:r>
      <w:r w:rsidR="003208BC" w:rsidRPr="00143C92">
        <w:rPr>
          <w:rFonts w:ascii="Century Gothic" w:hAnsi="Century Gothic" w:cs="Arial"/>
          <w:sz w:val="20"/>
          <w:szCs w:val="20"/>
        </w:rPr>
        <w:t>(</w:t>
      </w:r>
      <w:r w:rsidRPr="00143C92">
        <w:rPr>
          <w:rFonts w:ascii="Century Gothic" w:hAnsi="Century Gothic" w:cs="Arial"/>
          <w:sz w:val="20"/>
          <w:szCs w:val="20"/>
        </w:rPr>
        <w:t xml:space="preserve">or the </w:t>
      </w:r>
      <w:r w:rsidR="003208BC" w:rsidRPr="00143C92">
        <w:rPr>
          <w:rFonts w:ascii="Century Gothic" w:hAnsi="Century Gothic" w:cs="Arial"/>
          <w:sz w:val="20"/>
          <w:szCs w:val="20"/>
        </w:rPr>
        <w:t>jurisdiction</w:t>
      </w:r>
      <w:r w:rsidRPr="00143C92">
        <w:rPr>
          <w:rFonts w:ascii="Century Gothic" w:hAnsi="Century Gothic" w:cs="Arial"/>
          <w:sz w:val="20"/>
          <w:szCs w:val="20"/>
        </w:rPr>
        <w:t xml:space="preserve"> in which you’re looking to practice</w:t>
      </w:r>
      <w:r w:rsidR="003208BC" w:rsidRPr="00143C92">
        <w:rPr>
          <w:rFonts w:ascii="Century Gothic" w:hAnsi="Century Gothic" w:cs="Arial"/>
          <w:sz w:val="20"/>
          <w:szCs w:val="20"/>
        </w:rPr>
        <w:t>)</w:t>
      </w:r>
      <w:r w:rsidRPr="00143C92">
        <w:rPr>
          <w:rFonts w:ascii="Century Gothic" w:hAnsi="Century Gothic" w:cs="Arial"/>
          <w:sz w:val="20"/>
          <w:szCs w:val="20"/>
        </w:rPr>
        <w:t xml:space="preserve">, or for help with bar preparation resources, please contact </w:t>
      </w:r>
      <w:r w:rsidR="003208BC" w:rsidRPr="00143C92">
        <w:rPr>
          <w:rFonts w:ascii="Century Gothic" w:hAnsi="Century Gothic" w:cs="Arial"/>
          <w:sz w:val="20"/>
          <w:szCs w:val="20"/>
        </w:rPr>
        <w:t xml:space="preserve">our school’s </w:t>
      </w:r>
      <w:r w:rsidR="003208BC" w:rsidRPr="00143C92">
        <w:rPr>
          <w:rFonts w:ascii="Century Gothic" w:hAnsi="Century Gothic" w:cs="Arial"/>
          <w:sz w:val="20"/>
          <w:szCs w:val="20"/>
          <w:highlight w:val="yellow"/>
        </w:rPr>
        <w:t>[academic support/bar success]</w:t>
      </w:r>
      <w:r w:rsidR="003208BC" w:rsidRPr="00143C92">
        <w:rPr>
          <w:rFonts w:ascii="Century Gothic" w:hAnsi="Century Gothic" w:cs="Arial"/>
          <w:sz w:val="20"/>
          <w:szCs w:val="20"/>
        </w:rPr>
        <w:t xml:space="preserve"> staff for additional information and guidance.</w:t>
      </w:r>
    </w:p>
    <w:p w14:paraId="55A80275" w14:textId="62A21962" w:rsidR="3DB8B825" w:rsidRPr="00143C92" w:rsidRDefault="3DB8B825" w:rsidP="3DB8B825">
      <w:pPr>
        <w:spacing w:after="0" w:line="240" w:lineRule="auto"/>
        <w:rPr>
          <w:rFonts w:ascii="Century Gothic" w:hAnsi="Century Gothic" w:cs="Arial"/>
          <w:sz w:val="20"/>
          <w:szCs w:val="20"/>
        </w:rPr>
      </w:pPr>
    </w:p>
    <w:p w14:paraId="75338F14" w14:textId="77777777" w:rsidR="00EB640E" w:rsidRDefault="00EB640E" w:rsidP="00EB640E">
      <w:pPr>
        <w:tabs>
          <w:tab w:val="left" w:pos="2595"/>
          <w:tab w:val="center" w:pos="4680"/>
        </w:tabs>
        <w:spacing w:after="0" w:line="240" w:lineRule="auto"/>
        <w:rPr>
          <w:rFonts w:ascii="Century Gothic" w:hAnsi="Century Gothic" w:cs="Arial"/>
          <w:b/>
          <w:bCs/>
          <w:color w:val="002060"/>
        </w:rPr>
      </w:pPr>
      <w:r>
        <w:rPr>
          <w:rFonts w:ascii="Century Gothic" w:hAnsi="Century Gothic" w:cs="Arial"/>
          <w:b/>
          <w:bCs/>
          <w:color w:val="002060"/>
        </w:rPr>
        <w:tab/>
      </w:r>
    </w:p>
    <w:p w14:paraId="12812943" w14:textId="6FBC4169" w:rsidR="00EB640E" w:rsidRDefault="007332E2" w:rsidP="007332E2">
      <w:pPr>
        <w:tabs>
          <w:tab w:val="left" w:pos="1710"/>
          <w:tab w:val="left" w:pos="2595"/>
          <w:tab w:val="center" w:pos="4680"/>
        </w:tabs>
        <w:spacing w:after="0" w:line="240" w:lineRule="auto"/>
        <w:jc w:val="center"/>
        <w:rPr>
          <w:rFonts w:ascii="Century Gothic" w:hAnsi="Century Gothic" w:cs="Arial"/>
          <w:b/>
          <w:bCs/>
          <w:color w:val="002060"/>
        </w:rPr>
      </w:pPr>
      <w:r>
        <w:rPr>
          <w:rFonts w:ascii="Century Gothic" w:hAnsi="Century Gothic" w:cs="Arial"/>
          <w:b/>
          <w:bCs/>
          <w:color w:val="002060"/>
        </w:rPr>
        <w:t xml:space="preserve">About the </w:t>
      </w:r>
      <w:r w:rsidR="00EB640E">
        <w:rPr>
          <w:rFonts w:ascii="Century Gothic" w:hAnsi="Century Gothic" w:cs="Arial"/>
          <w:b/>
          <w:bCs/>
          <w:color w:val="002060"/>
        </w:rPr>
        <w:t>Multistate Professional Responsibility Examination</w:t>
      </w:r>
    </w:p>
    <w:p w14:paraId="71385457" w14:textId="77777777" w:rsidR="00EB640E" w:rsidRDefault="00EB640E" w:rsidP="00EB640E">
      <w:pPr>
        <w:tabs>
          <w:tab w:val="left" w:pos="2595"/>
          <w:tab w:val="center" w:pos="4680"/>
        </w:tabs>
        <w:spacing w:after="0" w:line="240" w:lineRule="auto"/>
        <w:jc w:val="center"/>
        <w:rPr>
          <w:rFonts w:ascii="Century Gothic" w:hAnsi="Century Gothic" w:cs="Arial"/>
          <w:b/>
          <w:bCs/>
          <w:color w:val="002060"/>
        </w:rPr>
      </w:pPr>
    </w:p>
    <w:p w14:paraId="45A17018" w14:textId="258E65E6" w:rsidR="00145C93" w:rsidRPr="007332E2" w:rsidRDefault="007332E2" w:rsidP="00145C93">
      <w:pPr>
        <w:rPr>
          <w:rFonts w:ascii="Century Gothic" w:hAnsi="Century Gothic"/>
          <w:sz w:val="20"/>
          <w:szCs w:val="20"/>
        </w:rPr>
      </w:pPr>
      <w:r w:rsidRPr="007332E2">
        <w:rPr>
          <w:rFonts w:ascii="Century Gothic" w:hAnsi="Century Gothic"/>
          <w:sz w:val="20"/>
          <w:szCs w:val="20"/>
        </w:rPr>
        <w:t xml:space="preserve">The </w:t>
      </w:r>
      <w:hyperlink r:id="rId20" w:history="1">
        <w:r w:rsidRPr="007332E2">
          <w:rPr>
            <w:rStyle w:val="Hyperlink"/>
            <w:rFonts w:ascii="Century Gothic" w:hAnsi="Century Gothic"/>
            <w:sz w:val="20"/>
            <w:szCs w:val="20"/>
          </w:rPr>
          <w:t>MPRE</w:t>
        </w:r>
      </w:hyperlink>
      <w:r w:rsidRPr="007332E2">
        <w:rPr>
          <w:rFonts w:ascii="Century Gothic" w:hAnsi="Century Gothic"/>
          <w:sz w:val="20"/>
          <w:szCs w:val="20"/>
        </w:rPr>
        <w:t xml:space="preserve"> is a two-hour, 60-question multiple-choice examination that is administered three times per year. Developed by NCBE, the MPRE is required for admission to the bars of all but two US jurisdictions (Wisconsin and Puerto Rico). (Note that Connecticut and New Jersey accept successful completion of a law school course on professional responsibility in lieu of a passing score on the MPRE.)</w:t>
      </w:r>
      <w:r>
        <w:rPr>
          <w:rFonts w:ascii="Century Gothic" w:hAnsi="Century Gothic"/>
          <w:sz w:val="20"/>
          <w:szCs w:val="20"/>
        </w:rPr>
        <w:t xml:space="preserve"> </w:t>
      </w:r>
      <w:r w:rsidR="00145C93">
        <w:rPr>
          <w:rFonts w:ascii="Century Gothic" w:hAnsi="Century Gothic"/>
          <w:sz w:val="20"/>
          <w:szCs w:val="20"/>
        </w:rPr>
        <w:t>While many examinees take the MPRE while they are still in law school</w:t>
      </w:r>
      <w:r w:rsidR="00145C93">
        <w:rPr>
          <w:rFonts w:ascii="Century Gothic" w:hAnsi="Century Gothic"/>
          <w:sz w:val="20"/>
          <w:szCs w:val="20"/>
        </w:rPr>
        <w:t>,</w:t>
      </w:r>
      <w:r w:rsidR="00145C93">
        <w:rPr>
          <w:rFonts w:ascii="Century Gothic" w:hAnsi="Century Gothic"/>
          <w:sz w:val="20"/>
          <w:szCs w:val="20"/>
        </w:rPr>
        <w:t xml:space="preserve"> there is no requirement that you do so. </w:t>
      </w:r>
    </w:p>
    <w:p w14:paraId="68386088" w14:textId="5D5628A0" w:rsidR="007332E2" w:rsidRPr="007332E2" w:rsidRDefault="007332E2" w:rsidP="007332E2">
      <w:pPr>
        <w:rPr>
          <w:rFonts w:ascii="Century Gothic" w:hAnsi="Century Gothic"/>
          <w:sz w:val="20"/>
          <w:szCs w:val="20"/>
        </w:rPr>
      </w:pPr>
      <w:r w:rsidRPr="007332E2">
        <w:rPr>
          <w:rFonts w:ascii="Century Gothic" w:hAnsi="Century Gothic"/>
          <w:sz w:val="20"/>
          <w:szCs w:val="20"/>
        </w:rPr>
        <w:t xml:space="preserve">The purpose of the MPRE is to measure </w:t>
      </w:r>
      <w:r w:rsidR="00145C93">
        <w:rPr>
          <w:rFonts w:ascii="Century Gothic" w:hAnsi="Century Gothic"/>
          <w:sz w:val="20"/>
          <w:szCs w:val="20"/>
        </w:rPr>
        <w:t>examinees’</w:t>
      </w:r>
      <w:r w:rsidRPr="007332E2">
        <w:rPr>
          <w:rFonts w:ascii="Century Gothic" w:hAnsi="Century Gothic"/>
          <w:sz w:val="20"/>
          <w:szCs w:val="20"/>
        </w:rPr>
        <w:t xml:space="preserve"> knowledge and understanding of established standards related to the professional conduct of lawyers.</w:t>
      </w:r>
      <w:r>
        <w:rPr>
          <w:rFonts w:ascii="Century Gothic" w:hAnsi="Century Gothic"/>
          <w:sz w:val="20"/>
          <w:szCs w:val="20"/>
        </w:rPr>
        <w:t xml:space="preserve"> </w:t>
      </w:r>
      <w:r w:rsidRPr="007332E2">
        <w:rPr>
          <w:rFonts w:ascii="Century Gothic" w:hAnsi="Century Gothic"/>
          <w:sz w:val="20"/>
          <w:szCs w:val="20"/>
        </w:rPr>
        <w:t>The MPRE is not a test to determine an individual’s personal ethical values.</w:t>
      </w:r>
    </w:p>
    <w:p w14:paraId="74105FBD" w14:textId="2DC30445" w:rsidR="00EB640E" w:rsidRDefault="007332E2" w:rsidP="00EB640E">
      <w:pPr>
        <w:rPr>
          <w:rFonts w:ascii="Century Gothic" w:hAnsi="Century Gothic"/>
          <w:sz w:val="20"/>
          <w:szCs w:val="20"/>
        </w:rPr>
      </w:pPr>
      <w:r w:rsidRPr="007332E2">
        <w:rPr>
          <w:rFonts w:ascii="Century Gothic" w:hAnsi="Century Gothic"/>
          <w:sz w:val="20"/>
          <w:szCs w:val="20"/>
        </w:rPr>
        <w:t xml:space="preserve">Because MPRE requirements vary from one jurisdiction to another, </w:t>
      </w:r>
      <w:r w:rsidR="00145C93">
        <w:rPr>
          <w:rFonts w:ascii="Century Gothic" w:hAnsi="Century Gothic"/>
          <w:sz w:val="20"/>
          <w:szCs w:val="20"/>
        </w:rPr>
        <w:t>examinees</w:t>
      </w:r>
      <w:r w:rsidRPr="007332E2">
        <w:rPr>
          <w:rFonts w:ascii="Century Gothic" w:hAnsi="Century Gothic"/>
          <w:sz w:val="20"/>
          <w:szCs w:val="20"/>
        </w:rPr>
        <w:t xml:space="preserve"> are advised to check with the bar admission agency in the jurisdiction to which they seek admission before registering for the MPRE. Passing scores </w:t>
      </w:r>
      <w:r w:rsidR="00145C93">
        <w:rPr>
          <w:rFonts w:ascii="Century Gothic" w:hAnsi="Century Gothic"/>
          <w:sz w:val="20"/>
          <w:szCs w:val="20"/>
        </w:rPr>
        <w:t xml:space="preserve">and timelines to take the exam </w:t>
      </w:r>
      <w:r w:rsidRPr="007332E2">
        <w:rPr>
          <w:rFonts w:ascii="Century Gothic" w:hAnsi="Century Gothic"/>
          <w:sz w:val="20"/>
          <w:szCs w:val="20"/>
        </w:rPr>
        <w:t xml:space="preserve">are established by each </w:t>
      </w:r>
      <w:hyperlink r:id="rId21" w:history="1">
        <w:r w:rsidRPr="007332E2">
          <w:rPr>
            <w:rStyle w:val="Hyperlink"/>
            <w:rFonts w:ascii="Century Gothic" w:hAnsi="Century Gothic"/>
            <w:sz w:val="20"/>
            <w:szCs w:val="20"/>
          </w:rPr>
          <w:t>jurisdiction</w:t>
        </w:r>
      </w:hyperlink>
      <w:r w:rsidRPr="007332E2">
        <w:rPr>
          <w:rFonts w:ascii="Century Gothic" w:hAnsi="Century Gothic"/>
          <w:sz w:val="20"/>
          <w:szCs w:val="20"/>
        </w:rPr>
        <w:t>.</w:t>
      </w:r>
      <w:r w:rsidR="00145C93">
        <w:rPr>
          <w:rFonts w:ascii="Century Gothic" w:hAnsi="Century Gothic"/>
          <w:sz w:val="20"/>
          <w:szCs w:val="20"/>
        </w:rPr>
        <w:t xml:space="preserve"> </w:t>
      </w:r>
    </w:p>
    <w:p w14:paraId="2B36AA77" w14:textId="04672768" w:rsidR="00145C93" w:rsidRPr="00145C93" w:rsidRDefault="00145C93" w:rsidP="00145C93">
      <w:pPr>
        <w:rPr>
          <w:rFonts w:ascii="Century Gothic" w:hAnsi="Century Gothic"/>
          <w:sz w:val="20"/>
          <w:szCs w:val="20"/>
        </w:rPr>
      </w:pPr>
      <w:r>
        <w:rPr>
          <w:rFonts w:ascii="Century Gothic" w:hAnsi="Century Gothic"/>
          <w:sz w:val="20"/>
          <w:szCs w:val="20"/>
        </w:rPr>
        <w:t xml:space="preserve">The MPRE is administered at dedicated testing centers and </w:t>
      </w:r>
      <w:hyperlink r:id="rId22" w:history="1">
        <w:r w:rsidRPr="00C758E2">
          <w:rPr>
            <w:rStyle w:val="Hyperlink"/>
            <w:rFonts w:ascii="Century Gothic" w:hAnsi="Century Gothic"/>
            <w:sz w:val="20"/>
            <w:szCs w:val="20"/>
          </w:rPr>
          <w:t>test accommodations</w:t>
        </w:r>
        <w:r w:rsidR="00C758E2" w:rsidRPr="00C758E2">
          <w:rPr>
            <w:rStyle w:val="Hyperlink"/>
            <w:rFonts w:ascii="Century Gothic" w:hAnsi="Century Gothic"/>
            <w:sz w:val="20"/>
            <w:szCs w:val="20"/>
          </w:rPr>
          <w:t xml:space="preserve"> requests</w:t>
        </w:r>
      </w:hyperlink>
      <w:r w:rsidR="00C758E2">
        <w:rPr>
          <w:rFonts w:ascii="Century Gothic" w:hAnsi="Century Gothic"/>
          <w:sz w:val="20"/>
          <w:szCs w:val="20"/>
        </w:rPr>
        <w:t xml:space="preserve"> are made directly to NCBE.</w:t>
      </w:r>
      <w:r>
        <w:rPr>
          <w:rFonts w:ascii="Century Gothic" w:hAnsi="Century Gothic"/>
          <w:sz w:val="20"/>
          <w:szCs w:val="20"/>
        </w:rPr>
        <w:t xml:space="preserve"> Examinees seeking test accommodations for the MPRE</w:t>
      </w:r>
      <w:r w:rsidRPr="00145C93">
        <w:rPr>
          <w:rFonts w:ascii="Century Gothic" w:hAnsi="Century Gothic"/>
          <w:sz w:val="20"/>
          <w:szCs w:val="20"/>
        </w:rPr>
        <w:t xml:space="preserve"> must apply for and receive their determination prior to registering and scheduling a test appointment. Applications should be submitted well in advance of the desired MPRE test administration, and no later than the Recommended Submission Date for that administration.</w:t>
      </w:r>
    </w:p>
    <w:p w14:paraId="49A4F094" w14:textId="0018BB2C" w:rsidR="36CF1890" w:rsidRPr="00143C92" w:rsidRDefault="00EB640E" w:rsidP="00EB640E">
      <w:pPr>
        <w:tabs>
          <w:tab w:val="left" w:pos="2595"/>
          <w:tab w:val="center" w:pos="4680"/>
        </w:tabs>
        <w:spacing w:after="0" w:line="240" w:lineRule="auto"/>
        <w:rPr>
          <w:rFonts w:ascii="Century Gothic" w:hAnsi="Century Gothic" w:cs="Arial"/>
          <w:b/>
          <w:bCs/>
          <w:color w:val="002060"/>
        </w:rPr>
      </w:pPr>
      <w:r>
        <w:rPr>
          <w:rFonts w:ascii="Century Gothic" w:hAnsi="Century Gothic" w:cs="Arial"/>
          <w:b/>
          <w:bCs/>
          <w:color w:val="002060"/>
        </w:rPr>
        <w:tab/>
      </w:r>
      <w:r w:rsidR="36CF1890" w:rsidRPr="00143C92">
        <w:rPr>
          <w:rFonts w:ascii="Century Gothic" w:hAnsi="Century Gothic" w:cs="Arial"/>
          <w:b/>
          <w:bCs/>
          <w:color w:val="002060"/>
        </w:rPr>
        <w:t>Resources/Helpful Links</w:t>
      </w:r>
    </w:p>
    <w:p w14:paraId="36FE0BFC" w14:textId="7EEF5DDB" w:rsidR="3DB8B825" w:rsidRPr="00143C92" w:rsidRDefault="3DB8B825" w:rsidP="3DB8B825">
      <w:pPr>
        <w:spacing w:after="0" w:line="240" w:lineRule="auto"/>
        <w:rPr>
          <w:rFonts w:ascii="Century Gothic" w:hAnsi="Century Gothic" w:cs="Arial"/>
          <w:b/>
          <w:bCs/>
          <w:sz w:val="20"/>
          <w:szCs w:val="20"/>
          <w:u w:val="single"/>
        </w:rPr>
      </w:pPr>
    </w:p>
    <w:p w14:paraId="26F76720" w14:textId="539CB78E" w:rsidR="36CF1890" w:rsidRPr="00143C92" w:rsidRDefault="36CF1890" w:rsidP="3DB8B825">
      <w:pPr>
        <w:spacing w:after="0" w:line="240" w:lineRule="auto"/>
        <w:rPr>
          <w:rFonts w:ascii="Century Gothic" w:hAnsi="Century Gothic" w:cs="Arial"/>
          <w:sz w:val="20"/>
          <w:szCs w:val="20"/>
        </w:rPr>
      </w:pPr>
      <w:r w:rsidRPr="00143C92">
        <w:rPr>
          <w:rFonts w:ascii="Century Gothic" w:hAnsi="Century Gothic" w:cs="Arial"/>
          <w:b/>
          <w:bCs/>
          <w:sz w:val="20"/>
          <w:szCs w:val="20"/>
        </w:rPr>
        <w:t>NCBE jurisdiction information page</w:t>
      </w:r>
      <w:r w:rsidR="003208BC" w:rsidRPr="00143C92">
        <w:rPr>
          <w:rFonts w:ascii="Century Gothic" w:hAnsi="Century Gothic" w:cs="Arial"/>
          <w:b/>
          <w:bCs/>
          <w:sz w:val="20"/>
          <w:szCs w:val="20"/>
        </w:rPr>
        <w:t>:</w:t>
      </w:r>
      <w:r w:rsidRPr="00143C92">
        <w:rPr>
          <w:rFonts w:ascii="Century Gothic" w:hAnsi="Century Gothic" w:cs="Arial"/>
          <w:sz w:val="20"/>
          <w:szCs w:val="20"/>
        </w:rPr>
        <w:t xml:space="preserve"> </w:t>
      </w:r>
      <w:hyperlink r:id="rId23">
        <w:r w:rsidRPr="00143C92">
          <w:rPr>
            <w:rStyle w:val="Hyperlink"/>
            <w:rFonts w:ascii="Century Gothic" w:hAnsi="Century Gothic" w:cs="Arial"/>
            <w:sz w:val="20"/>
            <w:szCs w:val="20"/>
          </w:rPr>
          <w:t>https://www.ncbex.org/jurisdictions</w:t>
        </w:r>
      </w:hyperlink>
    </w:p>
    <w:p w14:paraId="3235CD46" w14:textId="3F098B7B" w:rsidR="3DB8B825" w:rsidRPr="00143C92" w:rsidRDefault="3DB8B825" w:rsidP="3DB8B825">
      <w:pPr>
        <w:spacing w:after="0" w:line="240" w:lineRule="auto"/>
        <w:rPr>
          <w:rFonts w:ascii="Century Gothic" w:hAnsi="Century Gothic" w:cs="Arial"/>
          <w:sz w:val="20"/>
          <w:szCs w:val="20"/>
        </w:rPr>
      </w:pPr>
    </w:p>
    <w:p w14:paraId="07C02D41" w14:textId="25AEE07B" w:rsidR="36CF1890" w:rsidRPr="00143C92" w:rsidRDefault="36CF1890" w:rsidP="3DB8B825">
      <w:pPr>
        <w:spacing w:after="0" w:line="240" w:lineRule="auto"/>
        <w:rPr>
          <w:rFonts w:ascii="Century Gothic" w:eastAsia="Aptos" w:hAnsi="Century Gothic" w:cs="Arial"/>
          <w:b/>
          <w:bCs/>
          <w:sz w:val="20"/>
          <w:szCs w:val="20"/>
        </w:rPr>
      </w:pPr>
      <w:r w:rsidRPr="00143C92">
        <w:rPr>
          <w:rFonts w:ascii="Century Gothic" w:eastAsia="Aptos" w:hAnsi="Century Gothic" w:cs="Arial"/>
          <w:b/>
          <w:bCs/>
          <w:sz w:val="20"/>
          <w:szCs w:val="20"/>
        </w:rPr>
        <w:t>Legacy UBE Links:</w:t>
      </w:r>
    </w:p>
    <w:p w14:paraId="52803EED" w14:textId="042AA052" w:rsidR="0054636E" w:rsidRPr="00143C92" w:rsidRDefault="0054636E" w:rsidP="3DB8B825">
      <w:pPr>
        <w:numPr>
          <w:ilvl w:val="0"/>
          <w:numId w:val="4"/>
        </w:numPr>
        <w:spacing w:after="0" w:line="240" w:lineRule="auto"/>
        <w:rPr>
          <w:rFonts w:ascii="Century Gothic" w:eastAsia="Aptos" w:hAnsi="Century Gothic" w:cs="Arial"/>
          <w:sz w:val="20"/>
          <w:szCs w:val="20"/>
          <w:u w:val="single"/>
        </w:rPr>
      </w:pPr>
      <w:hyperlink r:id="rId24" w:history="1">
        <w:r w:rsidRPr="00143C92">
          <w:rPr>
            <w:rStyle w:val="Hyperlink"/>
            <w:rFonts w:ascii="Century Gothic" w:hAnsi="Century Gothic"/>
            <w:sz w:val="20"/>
            <w:szCs w:val="20"/>
          </w:rPr>
          <w:t>About the legacy UBE</w:t>
        </w:r>
      </w:hyperlink>
    </w:p>
    <w:p w14:paraId="0B7646A8" w14:textId="3A307067" w:rsidR="0054636E" w:rsidRPr="00143C92" w:rsidRDefault="0054636E" w:rsidP="00C6750A">
      <w:pPr>
        <w:numPr>
          <w:ilvl w:val="0"/>
          <w:numId w:val="4"/>
        </w:numPr>
        <w:spacing w:after="0" w:line="240" w:lineRule="auto"/>
        <w:rPr>
          <w:rFonts w:ascii="Century Gothic" w:hAnsi="Century Gothic"/>
          <w:sz w:val="20"/>
          <w:szCs w:val="20"/>
        </w:rPr>
      </w:pPr>
      <w:r w:rsidRPr="00143C92">
        <w:rPr>
          <w:rFonts w:ascii="Century Gothic" w:hAnsi="Century Gothic"/>
          <w:sz w:val="20"/>
          <w:szCs w:val="20"/>
        </w:rPr>
        <w:t>Legacy UBE Content</w:t>
      </w:r>
      <w:r w:rsidR="00C6750A" w:rsidRPr="00143C92">
        <w:rPr>
          <w:rFonts w:ascii="Century Gothic" w:hAnsi="Century Gothic"/>
          <w:sz w:val="20"/>
          <w:szCs w:val="20"/>
        </w:rPr>
        <w:t>, Content Outlines, and Sample Questions</w:t>
      </w:r>
      <w:r w:rsidRPr="00143C92">
        <w:rPr>
          <w:rFonts w:ascii="Century Gothic" w:hAnsi="Century Gothic"/>
          <w:sz w:val="20"/>
          <w:szCs w:val="20"/>
        </w:rPr>
        <w:t xml:space="preserve">: </w:t>
      </w:r>
      <w:hyperlink r:id="rId25" w:tooltip="Multistate Essay Examination" w:history="1">
        <w:r w:rsidRPr="00143C92">
          <w:rPr>
            <w:rStyle w:val="Hyperlink"/>
            <w:rFonts w:ascii="Century Gothic" w:hAnsi="Century Gothic"/>
            <w:sz w:val="20"/>
            <w:szCs w:val="20"/>
          </w:rPr>
          <w:t>Multistate Essay Examination</w:t>
        </w:r>
      </w:hyperlink>
      <w:r w:rsidRPr="00143C92">
        <w:rPr>
          <w:rFonts w:ascii="Century Gothic" w:hAnsi="Century Gothic"/>
          <w:sz w:val="20"/>
          <w:szCs w:val="20"/>
        </w:rPr>
        <w:t>, </w:t>
      </w:r>
      <w:hyperlink r:id="rId26" w:history="1">
        <w:r w:rsidRPr="00143C92">
          <w:rPr>
            <w:rStyle w:val="Hyperlink"/>
            <w:rFonts w:ascii="Century Gothic" w:hAnsi="Century Gothic"/>
            <w:sz w:val="20"/>
            <w:szCs w:val="20"/>
          </w:rPr>
          <w:t>Multistate Performance Test</w:t>
        </w:r>
      </w:hyperlink>
      <w:r w:rsidRPr="00143C92">
        <w:rPr>
          <w:rFonts w:ascii="Century Gothic" w:hAnsi="Century Gothic"/>
          <w:sz w:val="20"/>
          <w:szCs w:val="20"/>
        </w:rPr>
        <w:t xml:space="preserve">, </w:t>
      </w:r>
      <w:hyperlink r:id="rId27" w:tooltip="Multistate Bar Examination" w:history="1">
        <w:r w:rsidRPr="00143C92">
          <w:rPr>
            <w:rStyle w:val="Hyperlink"/>
            <w:rFonts w:ascii="Century Gothic" w:hAnsi="Century Gothic"/>
            <w:sz w:val="20"/>
            <w:szCs w:val="20"/>
          </w:rPr>
          <w:t>Multistate Bar Examination</w:t>
        </w:r>
      </w:hyperlink>
      <w:r w:rsidRPr="00143C92">
        <w:rPr>
          <w:rFonts w:ascii="Century Gothic" w:hAnsi="Century Gothic"/>
          <w:sz w:val="20"/>
          <w:szCs w:val="20"/>
        </w:rPr>
        <w:t> </w:t>
      </w:r>
    </w:p>
    <w:p w14:paraId="5D26EFB1" w14:textId="0E349076" w:rsidR="36CF1890" w:rsidRPr="00143C92" w:rsidRDefault="00C6750A" w:rsidP="3DB8B825">
      <w:pPr>
        <w:numPr>
          <w:ilvl w:val="0"/>
          <w:numId w:val="4"/>
        </w:numPr>
        <w:spacing w:after="0" w:line="240" w:lineRule="auto"/>
        <w:rPr>
          <w:rFonts w:ascii="Century Gothic" w:eastAsia="Aptos" w:hAnsi="Century Gothic" w:cs="Arial"/>
          <w:sz w:val="20"/>
          <w:szCs w:val="20"/>
          <w:u w:val="single"/>
        </w:rPr>
      </w:pPr>
      <w:hyperlink r:id="rId28">
        <w:r w:rsidRPr="00143C92">
          <w:rPr>
            <w:rStyle w:val="Hyperlink"/>
            <w:rFonts w:ascii="Century Gothic" w:eastAsia="Aptos" w:hAnsi="Century Gothic" w:cs="Arial"/>
            <w:sz w:val="20"/>
            <w:szCs w:val="20"/>
          </w:rPr>
          <w:t>Legacy U</w:t>
        </w:r>
        <w:r w:rsidR="36CF1890" w:rsidRPr="00143C92">
          <w:rPr>
            <w:rStyle w:val="Hyperlink"/>
            <w:rFonts w:ascii="Century Gothic" w:eastAsia="Aptos" w:hAnsi="Century Gothic" w:cs="Arial"/>
            <w:sz w:val="20"/>
            <w:szCs w:val="20"/>
          </w:rPr>
          <w:t xml:space="preserve">BE </w:t>
        </w:r>
        <w:r w:rsidRPr="00143C92">
          <w:rPr>
            <w:rStyle w:val="Hyperlink"/>
            <w:rFonts w:ascii="Century Gothic" w:eastAsia="Aptos" w:hAnsi="Century Gothic" w:cs="Arial"/>
            <w:sz w:val="20"/>
            <w:szCs w:val="20"/>
          </w:rPr>
          <w:t xml:space="preserve">Portability &amp; </w:t>
        </w:r>
        <w:r w:rsidR="36CF1890" w:rsidRPr="00143C92">
          <w:rPr>
            <w:rStyle w:val="Hyperlink"/>
            <w:rFonts w:ascii="Century Gothic" w:eastAsia="Aptos" w:hAnsi="Century Gothic" w:cs="Arial"/>
            <w:sz w:val="20"/>
            <w:szCs w:val="20"/>
          </w:rPr>
          <w:t>Score Services</w:t>
        </w:r>
      </w:hyperlink>
    </w:p>
    <w:p w14:paraId="42FF0D96" w14:textId="77777777" w:rsidR="00DB2845" w:rsidRDefault="00C6750A" w:rsidP="00DB2845">
      <w:pPr>
        <w:numPr>
          <w:ilvl w:val="0"/>
          <w:numId w:val="4"/>
        </w:numPr>
        <w:spacing w:after="0" w:line="240" w:lineRule="auto"/>
        <w:rPr>
          <w:rFonts w:ascii="Century Gothic" w:eastAsia="Aptos" w:hAnsi="Century Gothic" w:cs="Arial"/>
          <w:sz w:val="20"/>
          <w:szCs w:val="20"/>
        </w:rPr>
      </w:pPr>
      <w:hyperlink r:id="rId29" w:history="1">
        <w:r w:rsidRPr="00143C92">
          <w:rPr>
            <w:rStyle w:val="Hyperlink"/>
            <w:rFonts w:ascii="Century Gothic" w:hAnsi="Century Gothic"/>
            <w:sz w:val="20"/>
            <w:szCs w:val="20"/>
          </w:rPr>
          <w:t>Legacy UBE</w:t>
        </w:r>
        <w:r w:rsidR="00F80271" w:rsidRPr="00143C92">
          <w:rPr>
            <w:rStyle w:val="Hyperlink"/>
            <w:rFonts w:ascii="Century Gothic" w:hAnsi="Century Gothic"/>
            <w:sz w:val="20"/>
            <w:szCs w:val="20"/>
          </w:rPr>
          <w:t xml:space="preserve"> Study Aids</w:t>
        </w:r>
      </w:hyperlink>
    </w:p>
    <w:p w14:paraId="4407C770" w14:textId="7F7B948E" w:rsidR="00C6750A" w:rsidRPr="00DB2845" w:rsidRDefault="00C6750A" w:rsidP="00DB2845">
      <w:pPr>
        <w:numPr>
          <w:ilvl w:val="0"/>
          <w:numId w:val="4"/>
        </w:numPr>
        <w:spacing w:after="0" w:line="240" w:lineRule="auto"/>
        <w:rPr>
          <w:rFonts w:ascii="Century Gothic" w:eastAsia="Aptos" w:hAnsi="Century Gothic" w:cs="Arial"/>
          <w:sz w:val="20"/>
          <w:szCs w:val="20"/>
        </w:rPr>
      </w:pPr>
      <w:hyperlink r:id="rId30" w:tooltip="How Are Questions Written for NCBE’s Exams? Part One: Two Multiple-Choice Question Drafters Share the Process" w:history="1">
        <w:r w:rsidRPr="00DB2845">
          <w:rPr>
            <w:rFonts w:ascii="Century Gothic" w:eastAsia="Times New Roman" w:hAnsi="Century Gothic" w:cs="Times New Roman"/>
            <w:color w:val="0A58A3"/>
            <w:kern w:val="0"/>
            <w:sz w:val="20"/>
            <w:szCs w:val="20"/>
            <w:u w:val="single"/>
            <w:bdr w:val="none" w:sz="0" w:space="0" w:color="auto" w:frame="1"/>
            <w14:ligatures w14:val="none"/>
          </w:rPr>
          <w:t>How Are Questions Written for NCBE’s Exams? Part One: Two Multiple-Choice Question Drafters Share the Process</w:t>
        </w:r>
      </w:hyperlink>
    </w:p>
    <w:p w14:paraId="0CDAEC01" w14:textId="6D020113" w:rsidR="00C6750A" w:rsidRPr="00143C92" w:rsidRDefault="00C6750A" w:rsidP="00C6750A">
      <w:pPr>
        <w:numPr>
          <w:ilvl w:val="0"/>
          <w:numId w:val="3"/>
        </w:numPr>
        <w:spacing w:after="0" w:line="240" w:lineRule="auto"/>
        <w:textAlignment w:val="baseline"/>
        <w:rPr>
          <w:rFonts w:ascii="Century Gothic" w:eastAsia="Times New Roman" w:hAnsi="Century Gothic" w:cs="Times New Roman"/>
          <w:color w:val="333333"/>
          <w:kern w:val="0"/>
          <w:sz w:val="20"/>
          <w:szCs w:val="20"/>
          <w14:ligatures w14:val="none"/>
        </w:rPr>
      </w:pPr>
      <w:hyperlink r:id="rId31" w:tooltip="How Are Questions Written for NCBE’s Exams? Part Two: Two Written-Component Question Drafters Share the Process" w:history="1">
        <w:r w:rsidRPr="00143C92">
          <w:rPr>
            <w:rFonts w:ascii="Century Gothic" w:eastAsia="Times New Roman" w:hAnsi="Century Gothic" w:cs="Times New Roman"/>
            <w:color w:val="0A58A3"/>
            <w:kern w:val="0"/>
            <w:sz w:val="20"/>
            <w:szCs w:val="20"/>
            <w:u w:val="single"/>
            <w:bdr w:val="none" w:sz="0" w:space="0" w:color="auto" w:frame="1"/>
            <w14:ligatures w14:val="none"/>
          </w:rPr>
          <w:t>How Are Questions Written for NCBE’s Exams? Part Two: Two Written-Component Question Drafters Share the Process</w:t>
        </w:r>
      </w:hyperlink>
    </w:p>
    <w:p w14:paraId="25E65D30" w14:textId="73201DE0" w:rsidR="00C6750A" w:rsidRPr="00143C92" w:rsidRDefault="00C6750A" w:rsidP="00C6750A">
      <w:pPr>
        <w:numPr>
          <w:ilvl w:val="0"/>
          <w:numId w:val="3"/>
        </w:numPr>
        <w:spacing w:after="0" w:line="240" w:lineRule="auto"/>
        <w:textAlignment w:val="baseline"/>
        <w:rPr>
          <w:rFonts w:ascii="Century Gothic" w:eastAsia="Times New Roman" w:hAnsi="Century Gothic" w:cs="Times New Roman"/>
          <w:color w:val="333333"/>
          <w:kern w:val="0"/>
          <w:sz w:val="20"/>
          <w:szCs w:val="20"/>
          <w14:ligatures w14:val="none"/>
        </w:rPr>
      </w:pPr>
      <w:hyperlink r:id="rId32" w:tooltip="It’s All Relative—MEE and MPT Grading, That Is" w:history="1">
        <w:r w:rsidRPr="00143C92">
          <w:rPr>
            <w:rStyle w:val="Hyperlink"/>
            <w:rFonts w:ascii="Century Gothic" w:eastAsia="Times New Roman" w:hAnsi="Century Gothic" w:cs="Times New Roman"/>
            <w:kern w:val="0"/>
            <w:sz w:val="20"/>
            <w:szCs w:val="20"/>
            <w14:ligatures w14:val="none"/>
          </w:rPr>
          <w:t>It’s All Relative—MEE and MPT Grading, That Is</w:t>
        </w:r>
      </w:hyperlink>
    </w:p>
    <w:p w14:paraId="575571AD" w14:textId="7E34E3F0" w:rsidR="36CF1890" w:rsidRPr="00143C92" w:rsidRDefault="36CF1890" w:rsidP="3DB8B825">
      <w:pPr>
        <w:numPr>
          <w:ilvl w:val="0"/>
          <w:numId w:val="3"/>
        </w:numPr>
        <w:spacing w:after="0" w:line="240" w:lineRule="auto"/>
        <w:rPr>
          <w:rFonts w:ascii="Century Gothic" w:eastAsia="Aptos" w:hAnsi="Century Gothic" w:cs="Arial"/>
          <w:sz w:val="20"/>
          <w:szCs w:val="20"/>
          <w:u w:val="single"/>
        </w:rPr>
      </w:pPr>
      <w:hyperlink r:id="rId33">
        <w:r w:rsidRPr="00143C92">
          <w:rPr>
            <w:rStyle w:val="Hyperlink"/>
            <w:rFonts w:ascii="Century Gothic" w:eastAsia="Aptos" w:hAnsi="Century Gothic" w:cs="Arial"/>
            <w:sz w:val="20"/>
            <w:szCs w:val="20"/>
          </w:rPr>
          <w:t>Transferring UBE Scores Between Jurisdictions</w:t>
        </w:r>
      </w:hyperlink>
    </w:p>
    <w:p w14:paraId="43EF8338" w14:textId="6537D23F" w:rsidR="36CF1890" w:rsidRPr="00143C92" w:rsidRDefault="36CF1890" w:rsidP="3DB8B825">
      <w:pPr>
        <w:numPr>
          <w:ilvl w:val="0"/>
          <w:numId w:val="3"/>
        </w:numPr>
        <w:spacing w:after="0" w:line="240" w:lineRule="auto"/>
        <w:rPr>
          <w:rFonts w:ascii="Century Gothic" w:eastAsia="Aptos" w:hAnsi="Century Gothic" w:cs="Arial"/>
          <w:sz w:val="20"/>
          <w:szCs w:val="20"/>
          <w:u w:val="single"/>
        </w:rPr>
      </w:pPr>
      <w:hyperlink r:id="rId34">
        <w:r w:rsidRPr="00143C92">
          <w:rPr>
            <w:rStyle w:val="Hyperlink"/>
            <w:rFonts w:ascii="Century Gothic" w:eastAsia="Aptos" w:hAnsi="Century Gothic" w:cs="Arial"/>
            <w:sz w:val="20"/>
            <w:szCs w:val="20"/>
          </w:rPr>
          <w:t>Six Things I Wish Applicants Knew About Admission by Transferred UBE Score</w:t>
        </w:r>
      </w:hyperlink>
    </w:p>
    <w:p w14:paraId="2A1AF2A8" w14:textId="16A5A264" w:rsidR="36CF1890" w:rsidRPr="00143C92" w:rsidRDefault="36CF1890" w:rsidP="3DB8B825">
      <w:pPr>
        <w:numPr>
          <w:ilvl w:val="0"/>
          <w:numId w:val="3"/>
        </w:numPr>
        <w:spacing w:after="0" w:line="240" w:lineRule="auto"/>
        <w:rPr>
          <w:rFonts w:ascii="Century Gothic" w:eastAsia="Aptos" w:hAnsi="Century Gothic" w:cs="Arial"/>
          <w:sz w:val="20"/>
          <w:szCs w:val="20"/>
          <w:u w:val="single"/>
        </w:rPr>
      </w:pPr>
      <w:hyperlink r:id="rId35">
        <w:r w:rsidRPr="00143C92">
          <w:rPr>
            <w:rStyle w:val="Hyperlink"/>
            <w:rFonts w:ascii="Century Gothic" w:eastAsia="Aptos" w:hAnsi="Century Gothic" w:cs="Arial"/>
            <w:sz w:val="20"/>
            <w:szCs w:val="20"/>
          </w:rPr>
          <w:t>UBE Jurisdictions Testing Local Law Components</w:t>
        </w:r>
      </w:hyperlink>
    </w:p>
    <w:p w14:paraId="0DD6002E" w14:textId="632A985F" w:rsidR="3DB8B825" w:rsidRPr="00143C92" w:rsidRDefault="3DB8B825" w:rsidP="3DB8B825">
      <w:pPr>
        <w:spacing w:after="0" w:line="240" w:lineRule="auto"/>
        <w:rPr>
          <w:rFonts w:ascii="Century Gothic" w:eastAsia="Aptos" w:hAnsi="Century Gothic" w:cs="Arial"/>
          <w:sz w:val="20"/>
          <w:szCs w:val="20"/>
          <w:u w:val="single"/>
        </w:rPr>
      </w:pPr>
    </w:p>
    <w:p w14:paraId="6271CACC" w14:textId="26660321" w:rsidR="36CF1890" w:rsidRPr="00143C92" w:rsidRDefault="36CF1890" w:rsidP="3DB8B825">
      <w:pPr>
        <w:spacing w:after="0" w:line="240" w:lineRule="auto"/>
        <w:rPr>
          <w:rFonts w:ascii="Century Gothic" w:eastAsia="Aptos" w:hAnsi="Century Gothic" w:cs="Arial"/>
          <w:b/>
          <w:bCs/>
          <w:sz w:val="20"/>
          <w:szCs w:val="20"/>
        </w:rPr>
      </w:pPr>
      <w:r w:rsidRPr="00143C92">
        <w:rPr>
          <w:rFonts w:ascii="Century Gothic" w:eastAsia="Aptos" w:hAnsi="Century Gothic" w:cs="Arial"/>
          <w:b/>
          <w:bCs/>
          <w:sz w:val="20"/>
          <w:szCs w:val="20"/>
        </w:rPr>
        <w:t>NextGen UBE Links:</w:t>
      </w:r>
    </w:p>
    <w:p w14:paraId="1EBCAE9A" w14:textId="448FE393" w:rsidR="0054636E" w:rsidRPr="00143C92" w:rsidRDefault="36CF1890" w:rsidP="00C6750A">
      <w:pPr>
        <w:numPr>
          <w:ilvl w:val="0"/>
          <w:numId w:val="2"/>
        </w:numPr>
        <w:spacing w:after="0" w:line="240" w:lineRule="auto"/>
        <w:rPr>
          <w:rFonts w:ascii="Century Gothic" w:eastAsia="Aptos" w:hAnsi="Century Gothic" w:cs="Arial"/>
          <w:sz w:val="20"/>
          <w:szCs w:val="20"/>
        </w:rPr>
      </w:pPr>
      <w:hyperlink r:id="rId36">
        <w:r w:rsidRPr="00143C92">
          <w:rPr>
            <w:rStyle w:val="Hyperlink"/>
            <w:rFonts w:ascii="Century Gothic" w:eastAsia="Aptos" w:hAnsi="Century Gothic" w:cs="Arial"/>
            <w:sz w:val="20"/>
            <w:szCs w:val="20"/>
          </w:rPr>
          <w:t>About the NextGen UBE</w:t>
        </w:r>
      </w:hyperlink>
      <w:r w:rsidR="0050402F" w:rsidRPr="00143C92">
        <w:rPr>
          <w:rFonts w:ascii="Century Gothic" w:hAnsi="Century Gothic"/>
          <w:sz w:val="20"/>
          <w:szCs w:val="20"/>
        </w:rPr>
        <w:t xml:space="preserve"> (including the Official Examinees’ Guide)</w:t>
      </w:r>
    </w:p>
    <w:p w14:paraId="57454839" w14:textId="2B463763" w:rsidR="36CF1890" w:rsidRPr="00143C92" w:rsidRDefault="36CF1890" w:rsidP="00021160">
      <w:pPr>
        <w:numPr>
          <w:ilvl w:val="0"/>
          <w:numId w:val="2"/>
        </w:numPr>
        <w:spacing w:after="0" w:line="240" w:lineRule="auto"/>
        <w:rPr>
          <w:rFonts w:ascii="Century Gothic" w:eastAsia="Aptos" w:hAnsi="Century Gothic" w:cs="Arial"/>
          <w:sz w:val="20"/>
          <w:szCs w:val="20"/>
        </w:rPr>
      </w:pPr>
      <w:hyperlink r:id="rId37">
        <w:r w:rsidRPr="00143C92">
          <w:rPr>
            <w:rStyle w:val="Hyperlink"/>
            <w:rFonts w:ascii="Century Gothic" w:eastAsia="Aptos" w:hAnsi="Century Gothic" w:cs="Arial"/>
            <w:sz w:val="20"/>
            <w:szCs w:val="20"/>
          </w:rPr>
          <w:t>NextGen</w:t>
        </w:r>
        <w:r w:rsidR="00C6750A" w:rsidRPr="00143C92">
          <w:rPr>
            <w:rStyle w:val="Hyperlink"/>
            <w:rFonts w:ascii="Century Gothic" w:eastAsia="Aptos" w:hAnsi="Century Gothic" w:cs="Arial"/>
            <w:sz w:val="20"/>
            <w:szCs w:val="20"/>
          </w:rPr>
          <w:t xml:space="preserve"> UBE</w:t>
        </w:r>
        <w:r w:rsidRPr="00143C92">
          <w:rPr>
            <w:rStyle w:val="Hyperlink"/>
            <w:rFonts w:ascii="Century Gothic" w:eastAsia="Aptos" w:hAnsi="Century Gothic" w:cs="Arial"/>
            <w:sz w:val="20"/>
            <w:szCs w:val="20"/>
          </w:rPr>
          <w:t xml:space="preserve"> Content</w:t>
        </w:r>
        <w:r w:rsidR="00C6750A" w:rsidRPr="00143C92">
          <w:rPr>
            <w:rStyle w:val="Hyperlink"/>
            <w:rFonts w:ascii="Century Gothic" w:eastAsia="Aptos" w:hAnsi="Century Gothic" w:cs="Arial"/>
            <w:sz w:val="20"/>
            <w:szCs w:val="20"/>
          </w:rPr>
          <w:t xml:space="preserve"> Outlines</w:t>
        </w:r>
      </w:hyperlink>
      <w:r w:rsidR="00C6750A" w:rsidRPr="00143C92">
        <w:rPr>
          <w:rFonts w:ascii="Century Gothic" w:hAnsi="Century Gothic"/>
          <w:sz w:val="20"/>
          <w:szCs w:val="20"/>
        </w:rPr>
        <w:t xml:space="preserve"> &amp; </w:t>
      </w:r>
      <w:hyperlink r:id="rId38">
        <w:r w:rsidRPr="00143C92">
          <w:rPr>
            <w:rStyle w:val="Hyperlink"/>
            <w:rFonts w:ascii="Century Gothic" w:eastAsia="Aptos" w:hAnsi="Century Gothic" w:cs="Arial"/>
            <w:sz w:val="20"/>
            <w:szCs w:val="20"/>
          </w:rPr>
          <w:t xml:space="preserve">NextGen </w:t>
        </w:r>
        <w:r w:rsidR="00C6750A" w:rsidRPr="00143C92">
          <w:rPr>
            <w:rStyle w:val="Hyperlink"/>
            <w:rFonts w:ascii="Century Gothic" w:eastAsia="Aptos" w:hAnsi="Century Gothic" w:cs="Arial"/>
            <w:sz w:val="20"/>
            <w:szCs w:val="20"/>
          </w:rPr>
          <w:t>UBE</w:t>
        </w:r>
        <w:r w:rsidRPr="00143C92">
          <w:rPr>
            <w:rStyle w:val="Hyperlink"/>
            <w:rFonts w:ascii="Century Gothic" w:eastAsia="Aptos" w:hAnsi="Century Gothic" w:cs="Arial"/>
            <w:sz w:val="20"/>
            <w:szCs w:val="20"/>
          </w:rPr>
          <w:t xml:space="preserve"> Sample Questions</w:t>
        </w:r>
      </w:hyperlink>
    </w:p>
    <w:p w14:paraId="160D3E08" w14:textId="336C27BB" w:rsidR="0054636E" w:rsidRPr="00143C92" w:rsidRDefault="0054636E" w:rsidP="3DB8B825">
      <w:pPr>
        <w:numPr>
          <w:ilvl w:val="0"/>
          <w:numId w:val="2"/>
        </w:numPr>
        <w:spacing w:after="0" w:line="240" w:lineRule="auto"/>
        <w:rPr>
          <w:rFonts w:ascii="Century Gothic" w:eastAsia="Aptos" w:hAnsi="Century Gothic" w:cs="Arial"/>
          <w:sz w:val="20"/>
          <w:szCs w:val="20"/>
        </w:rPr>
      </w:pPr>
      <w:hyperlink r:id="rId39" w:history="1">
        <w:r w:rsidRPr="00143C92">
          <w:rPr>
            <w:rStyle w:val="Hyperlink"/>
            <w:rFonts w:ascii="Century Gothic" w:eastAsia="Aptos" w:hAnsi="Century Gothic" w:cs="Arial"/>
            <w:sz w:val="20"/>
            <w:szCs w:val="20"/>
          </w:rPr>
          <w:t>NextGen UBE Score Portabilit</w:t>
        </w:r>
        <w:r w:rsidR="00C6750A" w:rsidRPr="00143C92">
          <w:rPr>
            <w:rStyle w:val="Hyperlink"/>
            <w:rFonts w:ascii="Century Gothic" w:eastAsia="Aptos" w:hAnsi="Century Gothic" w:cs="Arial"/>
            <w:sz w:val="20"/>
            <w:szCs w:val="20"/>
          </w:rPr>
          <w:t>y &amp; Score Services</w:t>
        </w:r>
      </w:hyperlink>
    </w:p>
    <w:p w14:paraId="068D24A4" w14:textId="77777777" w:rsidR="00C6750A" w:rsidRPr="00143C92" w:rsidRDefault="00C6750A" w:rsidP="00C6750A">
      <w:pPr>
        <w:numPr>
          <w:ilvl w:val="0"/>
          <w:numId w:val="2"/>
        </w:numPr>
        <w:spacing w:after="0" w:line="240" w:lineRule="auto"/>
        <w:rPr>
          <w:rFonts w:ascii="Century Gothic" w:eastAsia="Aptos" w:hAnsi="Century Gothic" w:cs="Arial"/>
          <w:sz w:val="20"/>
          <w:szCs w:val="20"/>
        </w:rPr>
      </w:pPr>
      <w:hyperlink r:id="rId40" w:history="1">
        <w:r w:rsidRPr="00143C92">
          <w:rPr>
            <w:rStyle w:val="Hyperlink"/>
            <w:rFonts w:ascii="Century Gothic" w:hAnsi="Century Gothic"/>
            <w:sz w:val="20"/>
            <w:szCs w:val="20"/>
          </w:rPr>
          <w:t>NextGen UBE Study Aids</w:t>
        </w:r>
      </w:hyperlink>
    </w:p>
    <w:p w14:paraId="35E7DE2B" w14:textId="77777777" w:rsidR="00DB2845" w:rsidRDefault="36CF1890" w:rsidP="00DB2845">
      <w:pPr>
        <w:numPr>
          <w:ilvl w:val="0"/>
          <w:numId w:val="2"/>
        </w:numPr>
        <w:spacing w:after="0" w:line="240" w:lineRule="auto"/>
        <w:rPr>
          <w:rFonts w:ascii="Century Gothic" w:eastAsia="Aptos" w:hAnsi="Century Gothic" w:cs="Arial"/>
          <w:sz w:val="20"/>
          <w:szCs w:val="20"/>
        </w:rPr>
      </w:pPr>
      <w:hyperlink r:id="rId41">
        <w:r w:rsidRPr="00143C92">
          <w:rPr>
            <w:rStyle w:val="Hyperlink"/>
            <w:rFonts w:ascii="Century Gothic" w:eastAsia="Aptos" w:hAnsi="Century Gothic" w:cs="Arial"/>
            <w:sz w:val="20"/>
            <w:szCs w:val="20"/>
          </w:rPr>
          <w:t>NextGen Research &amp; Development Reports</w:t>
        </w:r>
      </w:hyperlink>
    </w:p>
    <w:p w14:paraId="080521DC" w14:textId="260C0350" w:rsidR="0050402F" w:rsidRPr="00DB2845" w:rsidRDefault="0050402F" w:rsidP="00DB2845">
      <w:pPr>
        <w:numPr>
          <w:ilvl w:val="0"/>
          <w:numId w:val="2"/>
        </w:numPr>
        <w:spacing w:after="0" w:line="240" w:lineRule="auto"/>
        <w:rPr>
          <w:rFonts w:ascii="Century Gothic" w:eastAsia="Aptos" w:hAnsi="Century Gothic" w:cs="Arial"/>
          <w:sz w:val="20"/>
          <w:szCs w:val="20"/>
        </w:rPr>
      </w:pPr>
      <w:hyperlink r:id="rId42" w:history="1">
        <w:r w:rsidRPr="00DB2845">
          <w:rPr>
            <w:rStyle w:val="Hyperlink"/>
            <w:rFonts w:ascii="Century Gothic" w:hAnsi="Century Gothic"/>
            <w:sz w:val="20"/>
            <w:szCs w:val="20"/>
          </w:rPr>
          <w:t>The Testing Column: Grading the MEE, MPT, and the NextGen Bar Exam: Ensuring Fairness to Candidates</w:t>
        </w:r>
      </w:hyperlink>
    </w:p>
    <w:p w14:paraId="3EEC911D" w14:textId="303F50A2" w:rsidR="36CF1890" w:rsidRPr="00143C92" w:rsidRDefault="36CF1890" w:rsidP="3DB8B825">
      <w:pPr>
        <w:numPr>
          <w:ilvl w:val="0"/>
          <w:numId w:val="1"/>
        </w:numPr>
        <w:spacing w:after="0" w:line="240" w:lineRule="auto"/>
        <w:rPr>
          <w:rFonts w:ascii="Century Gothic" w:eastAsia="Aptos" w:hAnsi="Century Gothic" w:cs="Arial"/>
          <w:sz w:val="20"/>
          <w:szCs w:val="20"/>
          <w:u w:val="single"/>
        </w:rPr>
      </w:pPr>
      <w:hyperlink r:id="rId43">
        <w:r w:rsidRPr="00143C92">
          <w:rPr>
            <w:rStyle w:val="Hyperlink"/>
            <w:rFonts w:ascii="Century Gothic" w:eastAsia="Aptos" w:hAnsi="Century Gothic" w:cs="Arial"/>
            <w:sz w:val="20"/>
            <w:szCs w:val="20"/>
          </w:rPr>
          <w:t>Family Law and the NextGen Bar Exam FAQ</w:t>
        </w:r>
      </w:hyperlink>
    </w:p>
    <w:p w14:paraId="36CB559E" w14:textId="661EF8E5" w:rsidR="21579500" w:rsidRPr="00143C92" w:rsidRDefault="36CF1890" w:rsidP="00521B9F">
      <w:pPr>
        <w:numPr>
          <w:ilvl w:val="0"/>
          <w:numId w:val="1"/>
        </w:numPr>
        <w:spacing w:after="0" w:line="240" w:lineRule="auto"/>
        <w:rPr>
          <w:rFonts w:ascii="Century Gothic" w:eastAsia="Aptos" w:hAnsi="Century Gothic" w:cs="Arial"/>
          <w:sz w:val="20"/>
          <w:szCs w:val="20"/>
          <w:u w:val="single"/>
        </w:rPr>
      </w:pPr>
      <w:hyperlink r:id="rId44">
        <w:r w:rsidRPr="00143C92">
          <w:rPr>
            <w:rStyle w:val="Hyperlink"/>
            <w:rFonts w:ascii="Century Gothic" w:eastAsia="Aptos" w:hAnsi="Century Gothic" w:cs="Arial"/>
            <w:sz w:val="20"/>
            <w:szCs w:val="20"/>
          </w:rPr>
          <w:t xml:space="preserve">All NextGen </w:t>
        </w:r>
        <w:r w:rsidR="00C6750A" w:rsidRPr="00143C92">
          <w:rPr>
            <w:rStyle w:val="Hyperlink"/>
            <w:rFonts w:ascii="Century Gothic" w:eastAsia="Aptos" w:hAnsi="Century Gothic" w:cs="Arial"/>
            <w:sz w:val="20"/>
            <w:szCs w:val="20"/>
          </w:rPr>
          <w:t xml:space="preserve">UBE </w:t>
        </w:r>
        <w:r w:rsidRPr="00143C92">
          <w:rPr>
            <w:rStyle w:val="Hyperlink"/>
            <w:rFonts w:ascii="Century Gothic" w:eastAsia="Aptos" w:hAnsi="Century Gothic" w:cs="Arial"/>
            <w:sz w:val="20"/>
            <w:szCs w:val="20"/>
          </w:rPr>
          <w:t>Articles</w:t>
        </w:r>
      </w:hyperlink>
    </w:p>
    <w:p w14:paraId="11C9FB40" w14:textId="77777777" w:rsidR="00C6750A" w:rsidRPr="00143C92" w:rsidRDefault="00C6750A" w:rsidP="00C6750A">
      <w:pPr>
        <w:spacing w:after="0" w:line="240" w:lineRule="auto"/>
        <w:rPr>
          <w:rFonts w:ascii="Century Gothic" w:hAnsi="Century Gothic"/>
        </w:rPr>
      </w:pPr>
    </w:p>
    <w:p w14:paraId="0A099894" w14:textId="2D0C3042" w:rsidR="00145C93" w:rsidRDefault="00145C93" w:rsidP="00C6750A">
      <w:pPr>
        <w:spacing w:after="0" w:line="240" w:lineRule="auto"/>
        <w:rPr>
          <w:rFonts w:ascii="Century Gothic" w:hAnsi="Century Gothic"/>
          <w:b/>
          <w:bCs/>
          <w:sz w:val="20"/>
          <w:szCs w:val="20"/>
        </w:rPr>
      </w:pPr>
      <w:r>
        <w:rPr>
          <w:rFonts w:ascii="Century Gothic" w:hAnsi="Century Gothic"/>
          <w:b/>
          <w:bCs/>
          <w:sz w:val="20"/>
          <w:szCs w:val="20"/>
        </w:rPr>
        <w:t>MPRE Links:</w:t>
      </w:r>
    </w:p>
    <w:p w14:paraId="105B81B9" w14:textId="68118DD5" w:rsidR="00145C93" w:rsidRPr="00145C93" w:rsidRDefault="00145C93" w:rsidP="00145C93">
      <w:pPr>
        <w:numPr>
          <w:ilvl w:val="0"/>
          <w:numId w:val="46"/>
        </w:numPr>
        <w:spacing w:after="0" w:line="240" w:lineRule="auto"/>
        <w:rPr>
          <w:rFonts w:ascii="Century Gothic" w:hAnsi="Century Gothic"/>
          <w:sz w:val="20"/>
          <w:szCs w:val="20"/>
        </w:rPr>
      </w:pPr>
      <w:hyperlink r:id="rId45" w:history="1">
        <w:r w:rsidRPr="00145C93">
          <w:rPr>
            <w:rStyle w:val="Hyperlink"/>
            <w:rFonts w:ascii="Century Gothic" w:hAnsi="Century Gothic"/>
            <w:sz w:val="20"/>
            <w:szCs w:val="20"/>
          </w:rPr>
          <w:t>Abou</w:t>
        </w:r>
        <w:r>
          <w:rPr>
            <w:rStyle w:val="Hyperlink"/>
            <w:rFonts w:ascii="Century Gothic" w:hAnsi="Century Gothic"/>
            <w:sz w:val="20"/>
            <w:szCs w:val="20"/>
          </w:rPr>
          <w:t>t the MPRE</w:t>
        </w:r>
      </w:hyperlink>
    </w:p>
    <w:p w14:paraId="218C4D35" w14:textId="77777777" w:rsidR="00145C93" w:rsidRPr="00145C93" w:rsidRDefault="00145C93" w:rsidP="00145C93">
      <w:pPr>
        <w:numPr>
          <w:ilvl w:val="0"/>
          <w:numId w:val="46"/>
        </w:numPr>
        <w:spacing w:after="0" w:line="240" w:lineRule="auto"/>
        <w:rPr>
          <w:rFonts w:ascii="Century Gothic" w:hAnsi="Century Gothic"/>
          <w:sz w:val="20"/>
          <w:szCs w:val="20"/>
        </w:rPr>
      </w:pPr>
      <w:hyperlink r:id="rId46" w:history="1">
        <w:r w:rsidRPr="00145C93">
          <w:rPr>
            <w:rStyle w:val="Hyperlink"/>
            <w:rFonts w:ascii="Century Gothic" w:hAnsi="Century Gothic"/>
            <w:sz w:val="20"/>
            <w:szCs w:val="20"/>
          </w:rPr>
          <w:t>Registration</w:t>
        </w:r>
      </w:hyperlink>
    </w:p>
    <w:p w14:paraId="62DF0B23" w14:textId="77777777" w:rsidR="00145C93" w:rsidRPr="00145C93" w:rsidRDefault="00145C93" w:rsidP="00145C93">
      <w:pPr>
        <w:numPr>
          <w:ilvl w:val="0"/>
          <w:numId w:val="46"/>
        </w:numPr>
        <w:spacing w:after="0" w:line="240" w:lineRule="auto"/>
        <w:rPr>
          <w:rFonts w:ascii="Century Gothic" w:hAnsi="Century Gothic"/>
          <w:sz w:val="20"/>
          <w:szCs w:val="20"/>
        </w:rPr>
      </w:pPr>
      <w:hyperlink r:id="rId47" w:history="1">
        <w:r w:rsidRPr="00145C93">
          <w:rPr>
            <w:rStyle w:val="Hyperlink"/>
            <w:rFonts w:ascii="Century Gothic" w:hAnsi="Century Gothic"/>
            <w:sz w:val="20"/>
            <w:szCs w:val="20"/>
          </w:rPr>
          <w:t>Test Accommodations</w:t>
        </w:r>
      </w:hyperlink>
    </w:p>
    <w:p w14:paraId="00E88838" w14:textId="77777777" w:rsidR="00145C93" w:rsidRDefault="00145C93" w:rsidP="00C6750A">
      <w:pPr>
        <w:spacing w:after="0" w:line="240" w:lineRule="auto"/>
        <w:rPr>
          <w:rFonts w:ascii="Century Gothic" w:hAnsi="Century Gothic"/>
          <w:b/>
          <w:bCs/>
          <w:sz w:val="20"/>
          <w:szCs w:val="20"/>
        </w:rPr>
      </w:pPr>
    </w:p>
    <w:p w14:paraId="1CE61D73" w14:textId="734F2726" w:rsidR="00C6750A" w:rsidRPr="00143C92" w:rsidRDefault="00C6750A" w:rsidP="00C6750A">
      <w:pPr>
        <w:spacing w:after="0" w:line="240" w:lineRule="auto"/>
        <w:rPr>
          <w:rFonts w:ascii="Century Gothic" w:hAnsi="Century Gothic"/>
          <w:b/>
          <w:bCs/>
          <w:sz w:val="20"/>
          <w:szCs w:val="20"/>
        </w:rPr>
      </w:pPr>
      <w:r w:rsidRPr="00143C92">
        <w:rPr>
          <w:rFonts w:ascii="Century Gothic" w:hAnsi="Century Gothic"/>
          <w:b/>
          <w:bCs/>
          <w:sz w:val="20"/>
          <w:szCs w:val="20"/>
        </w:rPr>
        <w:t xml:space="preserve">Helpful </w:t>
      </w:r>
      <w:r w:rsidRPr="00143C92">
        <w:rPr>
          <w:rFonts w:ascii="Century Gothic" w:eastAsia="Aptos" w:hAnsi="Century Gothic" w:cs="Arial"/>
          <w:b/>
          <w:bCs/>
          <w:i/>
          <w:iCs/>
          <w:sz w:val="20"/>
          <w:szCs w:val="20"/>
        </w:rPr>
        <w:t>Bar Examiner</w:t>
      </w:r>
      <w:r w:rsidRPr="00143C92">
        <w:rPr>
          <w:rFonts w:ascii="Century Gothic" w:hAnsi="Century Gothic"/>
          <w:b/>
          <w:bCs/>
          <w:sz w:val="20"/>
          <w:szCs w:val="20"/>
        </w:rPr>
        <w:t xml:space="preserve"> Articles:</w:t>
      </w:r>
    </w:p>
    <w:p w14:paraId="0EF29F87" w14:textId="77777777" w:rsidR="00042B6E" w:rsidRDefault="00042B6E" w:rsidP="00C6750A">
      <w:pPr>
        <w:pStyle w:val="ListParagraph"/>
        <w:numPr>
          <w:ilvl w:val="0"/>
          <w:numId w:val="44"/>
        </w:numPr>
        <w:spacing w:after="0" w:line="240" w:lineRule="auto"/>
        <w:rPr>
          <w:rFonts w:ascii="Century Gothic" w:eastAsia="Aptos" w:hAnsi="Century Gothic" w:cs="Arial"/>
          <w:sz w:val="20"/>
          <w:szCs w:val="20"/>
          <w:u w:val="single"/>
        </w:rPr>
      </w:pPr>
      <w:hyperlink r:id="rId48" w:tooltip="Twelve Things I Wish Applicants Knew About the Bar Admissions Process" w:history="1">
        <w:r w:rsidRPr="00042B6E">
          <w:rPr>
            <w:rStyle w:val="Hyperlink"/>
            <w:rFonts w:ascii="Century Gothic" w:eastAsia="Aptos" w:hAnsi="Century Gothic" w:cs="Arial"/>
            <w:sz w:val="20"/>
            <w:szCs w:val="20"/>
          </w:rPr>
          <w:t>Twelve Things I Wish Applicants Knew About the Bar Admissions Process</w:t>
        </w:r>
      </w:hyperlink>
    </w:p>
    <w:p w14:paraId="03FCDD64" w14:textId="63B76D8D" w:rsidR="00143C92" w:rsidRDefault="00143C92" w:rsidP="00C6750A">
      <w:pPr>
        <w:pStyle w:val="ListParagraph"/>
        <w:numPr>
          <w:ilvl w:val="0"/>
          <w:numId w:val="44"/>
        </w:numPr>
        <w:spacing w:after="0" w:line="240" w:lineRule="auto"/>
        <w:rPr>
          <w:rFonts w:ascii="Century Gothic" w:eastAsia="Aptos" w:hAnsi="Century Gothic" w:cs="Arial"/>
          <w:sz w:val="20"/>
          <w:szCs w:val="20"/>
          <w:u w:val="single"/>
        </w:rPr>
      </w:pPr>
      <w:hyperlink r:id="rId49" w:tooltip="FAQs About Bar Admissions: Answering Questions About: NCBE’s Character and Fitness Investigations" w:history="1">
        <w:r w:rsidRPr="00143C92">
          <w:rPr>
            <w:rStyle w:val="Hyperlink"/>
            <w:rFonts w:ascii="Century Gothic" w:eastAsia="Aptos" w:hAnsi="Century Gothic" w:cs="Arial"/>
            <w:sz w:val="20"/>
            <w:szCs w:val="20"/>
          </w:rPr>
          <w:t>Answering Questions About: NCBE’s Character and Fitness Investigations</w:t>
        </w:r>
      </w:hyperlink>
    </w:p>
    <w:p w14:paraId="599FE6B5" w14:textId="76B18E1D" w:rsidR="00042B6E" w:rsidRDefault="00042B6E" w:rsidP="00C6750A">
      <w:pPr>
        <w:pStyle w:val="ListParagraph"/>
        <w:numPr>
          <w:ilvl w:val="0"/>
          <w:numId w:val="44"/>
        </w:numPr>
        <w:spacing w:after="0" w:line="240" w:lineRule="auto"/>
        <w:rPr>
          <w:rFonts w:ascii="Century Gothic" w:eastAsia="Aptos" w:hAnsi="Century Gothic" w:cs="Arial"/>
          <w:sz w:val="20"/>
          <w:szCs w:val="20"/>
          <w:u w:val="single"/>
        </w:rPr>
      </w:pPr>
      <w:hyperlink r:id="rId50" w:tooltip="FAQs About Bar Admissions: Answering Questions About: NCBE Account Access" w:history="1">
        <w:r w:rsidRPr="00042B6E">
          <w:rPr>
            <w:rStyle w:val="Hyperlink"/>
            <w:rFonts w:ascii="Century Gothic" w:eastAsia="Aptos" w:hAnsi="Century Gothic" w:cs="Arial"/>
            <w:sz w:val="20"/>
            <w:szCs w:val="20"/>
          </w:rPr>
          <w:t>Answering Questions About: NCBE Account Access</w:t>
        </w:r>
      </w:hyperlink>
    </w:p>
    <w:p w14:paraId="3B5EED98" w14:textId="759EB303" w:rsidR="00C6750A" w:rsidRDefault="00143C92" w:rsidP="00C6750A">
      <w:pPr>
        <w:pStyle w:val="ListParagraph"/>
        <w:numPr>
          <w:ilvl w:val="0"/>
          <w:numId w:val="44"/>
        </w:numPr>
        <w:spacing w:after="0" w:line="240" w:lineRule="auto"/>
        <w:rPr>
          <w:rFonts w:ascii="Century Gothic" w:eastAsia="Aptos" w:hAnsi="Century Gothic" w:cs="Arial"/>
          <w:sz w:val="20"/>
          <w:szCs w:val="20"/>
          <w:u w:val="single"/>
        </w:rPr>
      </w:pPr>
      <w:hyperlink r:id="rId51" w:tooltip="FAQs About Bar Admissions: I passed the bar exam! When can I call myself a lawyer?" w:history="1">
        <w:r w:rsidRPr="00143C92">
          <w:rPr>
            <w:rStyle w:val="Hyperlink"/>
            <w:rFonts w:ascii="Century Gothic" w:eastAsia="Aptos" w:hAnsi="Century Gothic" w:cs="Arial"/>
            <w:sz w:val="20"/>
            <w:szCs w:val="20"/>
          </w:rPr>
          <w:t>I passed the bar exam! When can I call myself a lawyer?</w:t>
        </w:r>
      </w:hyperlink>
    </w:p>
    <w:p w14:paraId="6BBD0A7E" w14:textId="1F270B21" w:rsidR="00143C92" w:rsidRDefault="00042B6E" w:rsidP="00042B6E">
      <w:pPr>
        <w:pStyle w:val="ListParagraph"/>
        <w:numPr>
          <w:ilvl w:val="0"/>
          <w:numId w:val="44"/>
        </w:numPr>
        <w:spacing w:after="0" w:line="240" w:lineRule="auto"/>
        <w:rPr>
          <w:rFonts w:ascii="Century Gothic" w:eastAsia="Aptos" w:hAnsi="Century Gothic" w:cs="Arial"/>
          <w:sz w:val="20"/>
          <w:szCs w:val="20"/>
          <w:u w:val="single"/>
        </w:rPr>
      </w:pPr>
      <w:hyperlink r:id="rId52" w:tooltip="The Testing Column: Why Are February Bar Exam Pass Rates  Lower than July Pass Rates?" w:history="1">
        <w:r w:rsidRPr="00042B6E">
          <w:rPr>
            <w:rStyle w:val="Hyperlink"/>
            <w:rFonts w:ascii="Century Gothic" w:eastAsia="Aptos" w:hAnsi="Century Gothic" w:cs="Arial"/>
            <w:sz w:val="20"/>
            <w:szCs w:val="20"/>
          </w:rPr>
          <w:t>Why Are February Bar Exam Pass Rates Lower than July Pass Rates?</w:t>
        </w:r>
      </w:hyperlink>
    </w:p>
    <w:p w14:paraId="0D2836C4" w14:textId="50E3741C" w:rsidR="00042B6E" w:rsidRPr="00042B6E" w:rsidRDefault="00042B6E" w:rsidP="00042B6E">
      <w:pPr>
        <w:pStyle w:val="ListParagraph"/>
        <w:numPr>
          <w:ilvl w:val="0"/>
          <w:numId w:val="44"/>
        </w:numPr>
        <w:spacing w:after="0" w:line="240" w:lineRule="auto"/>
        <w:rPr>
          <w:rFonts w:ascii="Century Gothic" w:eastAsia="Aptos" w:hAnsi="Century Gothic" w:cs="Arial"/>
          <w:sz w:val="20"/>
          <w:szCs w:val="20"/>
          <w:u w:val="single"/>
        </w:rPr>
      </w:pPr>
      <w:hyperlink r:id="rId53" w:history="1">
        <w:r w:rsidRPr="00042B6E">
          <w:rPr>
            <w:rStyle w:val="Hyperlink"/>
            <w:rFonts w:ascii="Century Gothic" w:eastAsia="Aptos" w:hAnsi="Century Gothic" w:cs="Arial"/>
            <w:sz w:val="20"/>
            <w:szCs w:val="20"/>
          </w:rPr>
          <w:t xml:space="preserve">FAQ </w:t>
        </w:r>
        <w:r>
          <w:rPr>
            <w:rStyle w:val="Hyperlink"/>
            <w:rFonts w:ascii="Century Gothic" w:eastAsia="Aptos" w:hAnsi="Century Gothic" w:cs="Arial"/>
            <w:sz w:val="20"/>
            <w:szCs w:val="20"/>
          </w:rPr>
          <w:t>A</w:t>
        </w:r>
        <w:r w:rsidRPr="00042B6E">
          <w:rPr>
            <w:rStyle w:val="Hyperlink"/>
            <w:rFonts w:ascii="Century Gothic" w:eastAsia="Aptos" w:hAnsi="Century Gothic" w:cs="Arial"/>
            <w:sz w:val="20"/>
            <w:szCs w:val="20"/>
          </w:rPr>
          <w:t xml:space="preserve">bout </w:t>
        </w:r>
        <w:r>
          <w:rPr>
            <w:rStyle w:val="Hyperlink"/>
            <w:rFonts w:ascii="Century Gothic" w:eastAsia="Aptos" w:hAnsi="Century Gothic" w:cs="Arial"/>
            <w:sz w:val="20"/>
            <w:szCs w:val="20"/>
          </w:rPr>
          <w:t xml:space="preserve">Attorney </w:t>
        </w:r>
        <w:r w:rsidRPr="00042B6E">
          <w:rPr>
            <w:rStyle w:val="Hyperlink"/>
            <w:rFonts w:ascii="Century Gothic" w:eastAsia="Aptos" w:hAnsi="Century Gothic" w:cs="Arial"/>
            <w:sz w:val="20"/>
            <w:szCs w:val="20"/>
          </w:rPr>
          <w:t>Admissions</w:t>
        </w:r>
      </w:hyperlink>
    </w:p>
    <w:sectPr w:rsidR="00042B6E" w:rsidRPr="00042B6E" w:rsidSect="003208BC">
      <w:headerReference w:type="default" r:id="rId54"/>
      <w:headerReference w:type="first" r:id="rId5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phie Martin" w:date="2025-08-21T14:57:00Z" w:initials="SM">
    <w:p w14:paraId="2922DC81" w14:textId="77777777" w:rsidR="00521B9F" w:rsidRDefault="00521B9F" w:rsidP="00521B9F">
      <w:pPr>
        <w:pStyle w:val="CommentText"/>
      </w:pPr>
      <w:r>
        <w:rPr>
          <w:rStyle w:val="CommentReference"/>
        </w:rPr>
        <w:annotationRef/>
      </w:r>
      <w:r>
        <w:t xml:space="preserve">To find info on each jurisdiction’s final/first dates (and if you’d like to add a link to the jurisdiction’s info on the NCBE website), use the links found here: </w:t>
      </w:r>
      <w:hyperlink r:id="rId1" w:history="1">
        <w:r w:rsidRPr="000E4036">
          <w:rPr>
            <w:rStyle w:val="Hyperlink"/>
          </w:rPr>
          <w:t>https://www.ncbex.org/jurisdictions</w:t>
        </w:r>
      </w:hyperlink>
    </w:p>
  </w:comment>
  <w:comment w:id="1" w:author="Sophie Martin" w:date="2025-08-21T14:56:00Z" w:initials="SM">
    <w:p w14:paraId="38C8A716" w14:textId="31B882ED" w:rsidR="00521B9F" w:rsidRDefault="00521B9F" w:rsidP="00521B9F">
      <w:pPr>
        <w:pStyle w:val="CommentText"/>
      </w:pPr>
      <w:r>
        <w:rPr>
          <w:rStyle w:val="CommentReference"/>
        </w:rPr>
        <w:annotationRef/>
      </w:r>
      <w:r>
        <w:t xml:space="preserve">Some schools may find it helpful to list more than one jurisdiction’s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22DC81" w15:done="0"/>
  <w15:commentEx w15:paraId="38C8A7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C48B7" w16cex:dateUtc="2025-08-21T20:57:00Z"/>
  <w16cex:commentExtensible w16cex:durableId="66475D8E" w16cex:dateUtc="2025-08-21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22DC81" w16cid:durableId="372C48B7"/>
  <w16cid:commentId w16cid:paraId="38C8A716" w16cid:durableId="66475D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D399" w14:textId="77777777" w:rsidR="000D5AFC" w:rsidRDefault="000D5AFC" w:rsidP="00521B9F">
      <w:pPr>
        <w:spacing w:after="0" w:line="240" w:lineRule="auto"/>
      </w:pPr>
      <w:r>
        <w:separator/>
      </w:r>
    </w:p>
  </w:endnote>
  <w:endnote w:type="continuationSeparator" w:id="0">
    <w:p w14:paraId="60FB3E68" w14:textId="77777777" w:rsidR="000D5AFC" w:rsidRDefault="000D5AFC" w:rsidP="0052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88AA" w14:textId="77777777" w:rsidR="000D5AFC" w:rsidRDefault="000D5AFC" w:rsidP="00521B9F">
      <w:pPr>
        <w:spacing w:after="0" w:line="240" w:lineRule="auto"/>
      </w:pPr>
      <w:r>
        <w:separator/>
      </w:r>
    </w:p>
  </w:footnote>
  <w:footnote w:type="continuationSeparator" w:id="0">
    <w:p w14:paraId="1701933E" w14:textId="77777777" w:rsidR="000D5AFC" w:rsidRDefault="000D5AFC" w:rsidP="00521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E773" w14:textId="4DCE315D" w:rsidR="00521B9F" w:rsidRDefault="00521B9F" w:rsidP="00521B9F">
    <w:pPr>
      <w:pStyle w:val="Header"/>
      <w:jc w:val="center"/>
    </w:pPr>
  </w:p>
  <w:p w14:paraId="1D62F189" w14:textId="77777777" w:rsidR="00521B9F" w:rsidRDefault="00521B9F" w:rsidP="00521B9F">
    <w:pPr>
      <w:pStyle w:val="Header"/>
      <w:jc w:val="center"/>
    </w:pPr>
  </w:p>
  <w:p w14:paraId="52E2E66B" w14:textId="77777777" w:rsidR="00521B9F" w:rsidRDefault="00521B9F" w:rsidP="00521B9F">
    <w:pPr>
      <w:pStyle w:val="Header"/>
      <w:jc w:val="center"/>
    </w:pPr>
  </w:p>
  <w:p w14:paraId="7357230F" w14:textId="77777777" w:rsidR="00521B9F" w:rsidRDefault="00521B9F" w:rsidP="00521B9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C82B" w14:textId="32A96E8D" w:rsidR="003208BC" w:rsidRDefault="003208BC" w:rsidP="003208BC">
    <w:pPr>
      <w:pStyle w:val="Header"/>
      <w:tabs>
        <w:tab w:val="left" w:pos="7530"/>
      </w:tabs>
    </w:pPr>
    <w:r>
      <w:tab/>
    </w:r>
    <w:r>
      <w:rPr>
        <w:noProof/>
      </w:rPr>
      <w:drawing>
        <wp:inline distT="0" distB="0" distL="0" distR="0" wp14:anchorId="4FA47454" wp14:editId="730F9A59">
          <wp:extent cx="2255520" cy="353568"/>
          <wp:effectExtent l="0" t="0" r="0" b="8890"/>
          <wp:docPr id="133319302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9302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5520" cy="353568"/>
                  </a:xfrm>
                  <a:prstGeom prst="rect">
                    <a:avLst/>
                  </a:prstGeom>
                </pic:spPr>
              </pic:pic>
            </a:graphicData>
          </a:graphic>
        </wp:inline>
      </w:drawing>
    </w:r>
    <w:r>
      <w:tab/>
    </w:r>
  </w:p>
  <w:p w14:paraId="6DB94915" w14:textId="77777777" w:rsidR="003208BC" w:rsidRDefault="003208BC" w:rsidP="003208BC">
    <w:pPr>
      <w:pStyle w:val="Header"/>
      <w:tabs>
        <w:tab w:val="left" w:pos="7530"/>
      </w:tabs>
    </w:pPr>
  </w:p>
  <w:p w14:paraId="3A63C7AE" w14:textId="77777777" w:rsidR="003208BC" w:rsidRDefault="003208BC" w:rsidP="003208BC">
    <w:pPr>
      <w:pStyle w:val="Header"/>
      <w:tabs>
        <w:tab w:val="left" w:pos="7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AFE5"/>
    <w:multiLevelType w:val="hybridMultilevel"/>
    <w:tmpl w:val="FFFFFFFF"/>
    <w:lvl w:ilvl="0" w:tplc="CA62C036">
      <w:start w:val="1"/>
      <w:numFmt w:val="bullet"/>
      <w:lvlText w:val=""/>
      <w:lvlJc w:val="left"/>
      <w:pPr>
        <w:ind w:left="720" w:hanging="360"/>
      </w:pPr>
      <w:rPr>
        <w:rFonts w:ascii="Symbol" w:hAnsi="Symbol" w:hint="default"/>
      </w:rPr>
    </w:lvl>
    <w:lvl w:ilvl="1" w:tplc="631A4958">
      <w:start w:val="1"/>
      <w:numFmt w:val="bullet"/>
      <w:lvlText w:val="o"/>
      <w:lvlJc w:val="left"/>
      <w:pPr>
        <w:ind w:left="1440" w:hanging="360"/>
      </w:pPr>
      <w:rPr>
        <w:rFonts w:ascii="Courier New" w:hAnsi="Courier New" w:hint="default"/>
      </w:rPr>
    </w:lvl>
    <w:lvl w:ilvl="2" w:tplc="3FA29F94">
      <w:start w:val="1"/>
      <w:numFmt w:val="bullet"/>
      <w:lvlText w:val=""/>
      <w:lvlJc w:val="left"/>
      <w:pPr>
        <w:ind w:left="2160" w:hanging="360"/>
      </w:pPr>
      <w:rPr>
        <w:rFonts w:ascii="Wingdings" w:hAnsi="Wingdings" w:hint="default"/>
      </w:rPr>
    </w:lvl>
    <w:lvl w:ilvl="3" w:tplc="6AA0DEEC">
      <w:start w:val="1"/>
      <w:numFmt w:val="bullet"/>
      <w:lvlText w:val=""/>
      <w:lvlJc w:val="left"/>
      <w:pPr>
        <w:ind w:left="2880" w:hanging="360"/>
      </w:pPr>
      <w:rPr>
        <w:rFonts w:ascii="Symbol" w:hAnsi="Symbol" w:hint="default"/>
      </w:rPr>
    </w:lvl>
    <w:lvl w:ilvl="4" w:tplc="BA54AF68">
      <w:start w:val="1"/>
      <w:numFmt w:val="bullet"/>
      <w:lvlText w:val="o"/>
      <w:lvlJc w:val="left"/>
      <w:pPr>
        <w:ind w:left="3600" w:hanging="360"/>
      </w:pPr>
      <w:rPr>
        <w:rFonts w:ascii="Courier New" w:hAnsi="Courier New" w:hint="default"/>
      </w:rPr>
    </w:lvl>
    <w:lvl w:ilvl="5" w:tplc="96887C90">
      <w:start w:val="1"/>
      <w:numFmt w:val="bullet"/>
      <w:lvlText w:val=""/>
      <w:lvlJc w:val="left"/>
      <w:pPr>
        <w:ind w:left="4320" w:hanging="360"/>
      </w:pPr>
      <w:rPr>
        <w:rFonts w:ascii="Wingdings" w:hAnsi="Wingdings" w:hint="default"/>
      </w:rPr>
    </w:lvl>
    <w:lvl w:ilvl="6" w:tplc="2F04F6EA">
      <w:start w:val="1"/>
      <w:numFmt w:val="bullet"/>
      <w:lvlText w:val=""/>
      <w:lvlJc w:val="left"/>
      <w:pPr>
        <w:ind w:left="5040" w:hanging="360"/>
      </w:pPr>
      <w:rPr>
        <w:rFonts w:ascii="Symbol" w:hAnsi="Symbol" w:hint="default"/>
      </w:rPr>
    </w:lvl>
    <w:lvl w:ilvl="7" w:tplc="197AE410">
      <w:start w:val="1"/>
      <w:numFmt w:val="bullet"/>
      <w:lvlText w:val="o"/>
      <w:lvlJc w:val="left"/>
      <w:pPr>
        <w:ind w:left="5760" w:hanging="360"/>
      </w:pPr>
      <w:rPr>
        <w:rFonts w:ascii="Courier New" w:hAnsi="Courier New" w:hint="default"/>
      </w:rPr>
    </w:lvl>
    <w:lvl w:ilvl="8" w:tplc="F4202574">
      <w:start w:val="1"/>
      <w:numFmt w:val="bullet"/>
      <w:lvlText w:val=""/>
      <w:lvlJc w:val="left"/>
      <w:pPr>
        <w:ind w:left="6480" w:hanging="360"/>
      </w:pPr>
      <w:rPr>
        <w:rFonts w:ascii="Wingdings" w:hAnsi="Wingdings" w:hint="default"/>
      </w:rPr>
    </w:lvl>
  </w:abstractNum>
  <w:abstractNum w:abstractNumId="1" w15:restartNumberingAfterBreak="0">
    <w:nsid w:val="041E1AB0"/>
    <w:multiLevelType w:val="multilevel"/>
    <w:tmpl w:val="FF44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A5C0A"/>
    <w:multiLevelType w:val="multilevel"/>
    <w:tmpl w:val="49C0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1076B"/>
    <w:multiLevelType w:val="multilevel"/>
    <w:tmpl w:val="A62C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10A71"/>
    <w:multiLevelType w:val="multilevel"/>
    <w:tmpl w:val="A7C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92B11"/>
    <w:multiLevelType w:val="multilevel"/>
    <w:tmpl w:val="BDCE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33D1"/>
    <w:multiLevelType w:val="multilevel"/>
    <w:tmpl w:val="F5C0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A1F12"/>
    <w:multiLevelType w:val="multilevel"/>
    <w:tmpl w:val="5C5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7359A"/>
    <w:multiLevelType w:val="multilevel"/>
    <w:tmpl w:val="22AE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2748"/>
    <w:multiLevelType w:val="multilevel"/>
    <w:tmpl w:val="6F7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25763"/>
    <w:multiLevelType w:val="multilevel"/>
    <w:tmpl w:val="5F8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D2832"/>
    <w:multiLevelType w:val="multilevel"/>
    <w:tmpl w:val="635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447C7"/>
    <w:multiLevelType w:val="multilevel"/>
    <w:tmpl w:val="B744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23DFC"/>
    <w:multiLevelType w:val="multilevel"/>
    <w:tmpl w:val="576A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24733"/>
    <w:multiLevelType w:val="multilevel"/>
    <w:tmpl w:val="61DC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06FEA"/>
    <w:multiLevelType w:val="multilevel"/>
    <w:tmpl w:val="4F94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46BE7"/>
    <w:multiLevelType w:val="multilevel"/>
    <w:tmpl w:val="B5D6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B508B"/>
    <w:multiLevelType w:val="multilevel"/>
    <w:tmpl w:val="6286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A16E7"/>
    <w:multiLevelType w:val="multilevel"/>
    <w:tmpl w:val="7D5A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4CD72E"/>
    <w:multiLevelType w:val="hybridMultilevel"/>
    <w:tmpl w:val="FFFFFFFF"/>
    <w:lvl w:ilvl="0" w:tplc="0E9013CC">
      <w:start w:val="1"/>
      <w:numFmt w:val="bullet"/>
      <w:lvlText w:val=""/>
      <w:lvlJc w:val="left"/>
      <w:pPr>
        <w:ind w:left="720" w:hanging="360"/>
      </w:pPr>
      <w:rPr>
        <w:rFonts w:ascii="Symbol" w:hAnsi="Symbol" w:hint="default"/>
      </w:rPr>
    </w:lvl>
    <w:lvl w:ilvl="1" w:tplc="CFFED996">
      <w:start w:val="1"/>
      <w:numFmt w:val="bullet"/>
      <w:lvlText w:val="o"/>
      <w:lvlJc w:val="left"/>
      <w:pPr>
        <w:ind w:left="1440" w:hanging="360"/>
      </w:pPr>
      <w:rPr>
        <w:rFonts w:ascii="Courier New" w:hAnsi="Courier New" w:hint="default"/>
      </w:rPr>
    </w:lvl>
    <w:lvl w:ilvl="2" w:tplc="D5EC4EDC">
      <w:start w:val="1"/>
      <w:numFmt w:val="bullet"/>
      <w:lvlText w:val=""/>
      <w:lvlJc w:val="left"/>
      <w:pPr>
        <w:ind w:left="2160" w:hanging="360"/>
      </w:pPr>
      <w:rPr>
        <w:rFonts w:ascii="Wingdings" w:hAnsi="Wingdings" w:hint="default"/>
      </w:rPr>
    </w:lvl>
    <w:lvl w:ilvl="3" w:tplc="AC98B72E">
      <w:start w:val="1"/>
      <w:numFmt w:val="bullet"/>
      <w:lvlText w:val=""/>
      <w:lvlJc w:val="left"/>
      <w:pPr>
        <w:ind w:left="2880" w:hanging="360"/>
      </w:pPr>
      <w:rPr>
        <w:rFonts w:ascii="Symbol" w:hAnsi="Symbol" w:hint="default"/>
      </w:rPr>
    </w:lvl>
    <w:lvl w:ilvl="4" w:tplc="FF7CEF00">
      <w:start w:val="1"/>
      <w:numFmt w:val="bullet"/>
      <w:lvlText w:val="o"/>
      <w:lvlJc w:val="left"/>
      <w:pPr>
        <w:ind w:left="3600" w:hanging="360"/>
      </w:pPr>
      <w:rPr>
        <w:rFonts w:ascii="Courier New" w:hAnsi="Courier New" w:hint="default"/>
      </w:rPr>
    </w:lvl>
    <w:lvl w:ilvl="5" w:tplc="9AFAF47E">
      <w:start w:val="1"/>
      <w:numFmt w:val="bullet"/>
      <w:lvlText w:val=""/>
      <w:lvlJc w:val="left"/>
      <w:pPr>
        <w:ind w:left="4320" w:hanging="360"/>
      </w:pPr>
      <w:rPr>
        <w:rFonts w:ascii="Wingdings" w:hAnsi="Wingdings" w:hint="default"/>
      </w:rPr>
    </w:lvl>
    <w:lvl w:ilvl="6" w:tplc="3ABA8262">
      <w:start w:val="1"/>
      <w:numFmt w:val="bullet"/>
      <w:lvlText w:val=""/>
      <w:lvlJc w:val="left"/>
      <w:pPr>
        <w:ind w:left="5040" w:hanging="360"/>
      </w:pPr>
      <w:rPr>
        <w:rFonts w:ascii="Symbol" w:hAnsi="Symbol" w:hint="default"/>
      </w:rPr>
    </w:lvl>
    <w:lvl w:ilvl="7" w:tplc="8FCC32DA">
      <w:start w:val="1"/>
      <w:numFmt w:val="bullet"/>
      <w:lvlText w:val="o"/>
      <w:lvlJc w:val="left"/>
      <w:pPr>
        <w:ind w:left="5760" w:hanging="360"/>
      </w:pPr>
      <w:rPr>
        <w:rFonts w:ascii="Courier New" w:hAnsi="Courier New" w:hint="default"/>
      </w:rPr>
    </w:lvl>
    <w:lvl w:ilvl="8" w:tplc="5560B7A8">
      <w:start w:val="1"/>
      <w:numFmt w:val="bullet"/>
      <w:lvlText w:val=""/>
      <w:lvlJc w:val="left"/>
      <w:pPr>
        <w:ind w:left="6480" w:hanging="360"/>
      </w:pPr>
      <w:rPr>
        <w:rFonts w:ascii="Wingdings" w:hAnsi="Wingdings" w:hint="default"/>
      </w:rPr>
    </w:lvl>
  </w:abstractNum>
  <w:abstractNum w:abstractNumId="20" w15:restartNumberingAfterBreak="0">
    <w:nsid w:val="4212FDEC"/>
    <w:multiLevelType w:val="hybridMultilevel"/>
    <w:tmpl w:val="FFFFFFFF"/>
    <w:lvl w:ilvl="0" w:tplc="98822072">
      <w:start w:val="1"/>
      <w:numFmt w:val="bullet"/>
      <w:lvlText w:val=""/>
      <w:lvlJc w:val="left"/>
      <w:pPr>
        <w:ind w:left="720" w:hanging="360"/>
      </w:pPr>
      <w:rPr>
        <w:rFonts w:ascii="Symbol" w:hAnsi="Symbol" w:hint="default"/>
      </w:rPr>
    </w:lvl>
    <w:lvl w:ilvl="1" w:tplc="3C840E9E">
      <w:start w:val="1"/>
      <w:numFmt w:val="bullet"/>
      <w:lvlText w:val="o"/>
      <w:lvlJc w:val="left"/>
      <w:pPr>
        <w:ind w:left="1440" w:hanging="360"/>
      </w:pPr>
      <w:rPr>
        <w:rFonts w:ascii="Courier New" w:hAnsi="Courier New" w:hint="default"/>
      </w:rPr>
    </w:lvl>
    <w:lvl w:ilvl="2" w:tplc="25B0565A">
      <w:start w:val="1"/>
      <w:numFmt w:val="bullet"/>
      <w:lvlText w:val=""/>
      <w:lvlJc w:val="left"/>
      <w:pPr>
        <w:ind w:left="2160" w:hanging="360"/>
      </w:pPr>
      <w:rPr>
        <w:rFonts w:ascii="Wingdings" w:hAnsi="Wingdings" w:hint="default"/>
      </w:rPr>
    </w:lvl>
    <w:lvl w:ilvl="3" w:tplc="3B861044">
      <w:start w:val="1"/>
      <w:numFmt w:val="bullet"/>
      <w:lvlText w:val=""/>
      <w:lvlJc w:val="left"/>
      <w:pPr>
        <w:ind w:left="2880" w:hanging="360"/>
      </w:pPr>
      <w:rPr>
        <w:rFonts w:ascii="Symbol" w:hAnsi="Symbol" w:hint="default"/>
      </w:rPr>
    </w:lvl>
    <w:lvl w:ilvl="4" w:tplc="68725E8A">
      <w:start w:val="1"/>
      <w:numFmt w:val="bullet"/>
      <w:lvlText w:val="o"/>
      <w:lvlJc w:val="left"/>
      <w:pPr>
        <w:ind w:left="3600" w:hanging="360"/>
      </w:pPr>
      <w:rPr>
        <w:rFonts w:ascii="Courier New" w:hAnsi="Courier New" w:hint="default"/>
      </w:rPr>
    </w:lvl>
    <w:lvl w:ilvl="5" w:tplc="4998A52E">
      <w:start w:val="1"/>
      <w:numFmt w:val="bullet"/>
      <w:lvlText w:val=""/>
      <w:lvlJc w:val="left"/>
      <w:pPr>
        <w:ind w:left="4320" w:hanging="360"/>
      </w:pPr>
      <w:rPr>
        <w:rFonts w:ascii="Wingdings" w:hAnsi="Wingdings" w:hint="default"/>
      </w:rPr>
    </w:lvl>
    <w:lvl w:ilvl="6" w:tplc="88FA6D9C">
      <w:start w:val="1"/>
      <w:numFmt w:val="bullet"/>
      <w:lvlText w:val=""/>
      <w:lvlJc w:val="left"/>
      <w:pPr>
        <w:ind w:left="5040" w:hanging="360"/>
      </w:pPr>
      <w:rPr>
        <w:rFonts w:ascii="Symbol" w:hAnsi="Symbol" w:hint="default"/>
      </w:rPr>
    </w:lvl>
    <w:lvl w:ilvl="7" w:tplc="6ED0B366">
      <w:start w:val="1"/>
      <w:numFmt w:val="bullet"/>
      <w:lvlText w:val="o"/>
      <w:lvlJc w:val="left"/>
      <w:pPr>
        <w:ind w:left="5760" w:hanging="360"/>
      </w:pPr>
      <w:rPr>
        <w:rFonts w:ascii="Courier New" w:hAnsi="Courier New" w:hint="default"/>
      </w:rPr>
    </w:lvl>
    <w:lvl w:ilvl="8" w:tplc="0248DB84">
      <w:start w:val="1"/>
      <w:numFmt w:val="bullet"/>
      <w:lvlText w:val=""/>
      <w:lvlJc w:val="left"/>
      <w:pPr>
        <w:ind w:left="6480" w:hanging="360"/>
      </w:pPr>
      <w:rPr>
        <w:rFonts w:ascii="Wingdings" w:hAnsi="Wingdings" w:hint="default"/>
      </w:rPr>
    </w:lvl>
  </w:abstractNum>
  <w:abstractNum w:abstractNumId="21" w15:restartNumberingAfterBreak="0">
    <w:nsid w:val="42963134"/>
    <w:multiLevelType w:val="multilevel"/>
    <w:tmpl w:val="B6C66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92A4C"/>
    <w:multiLevelType w:val="multilevel"/>
    <w:tmpl w:val="DC9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D52EB"/>
    <w:multiLevelType w:val="multilevel"/>
    <w:tmpl w:val="9F6E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B5EDF"/>
    <w:multiLevelType w:val="multilevel"/>
    <w:tmpl w:val="C0D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72519"/>
    <w:multiLevelType w:val="multilevel"/>
    <w:tmpl w:val="E92A8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877463"/>
    <w:multiLevelType w:val="multilevel"/>
    <w:tmpl w:val="A126C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61C29"/>
    <w:multiLevelType w:val="multilevel"/>
    <w:tmpl w:val="F8BA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B56857"/>
    <w:multiLevelType w:val="multilevel"/>
    <w:tmpl w:val="4D1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83F17"/>
    <w:multiLevelType w:val="multilevel"/>
    <w:tmpl w:val="25BA9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D3A61"/>
    <w:multiLevelType w:val="multilevel"/>
    <w:tmpl w:val="B97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FA6B0E"/>
    <w:multiLevelType w:val="multilevel"/>
    <w:tmpl w:val="6C84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E879E"/>
    <w:multiLevelType w:val="hybridMultilevel"/>
    <w:tmpl w:val="FFFFFFFF"/>
    <w:lvl w:ilvl="0" w:tplc="ADBEDDCC">
      <w:start w:val="1"/>
      <w:numFmt w:val="bullet"/>
      <w:lvlText w:val=""/>
      <w:lvlJc w:val="left"/>
      <w:pPr>
        <w:ind w:left="720" w:hanging="360"/>
      </w:pPr>
      <w:rPr>
        <w:rFonts w:ascii="Symbol" w:hAnsi="Symbol" w:hint="default"/>
      </w:rPr>
    </w:lvl>
    <w:lvl w:ilvl="1" w:tplc="905CA4E6">
      <w:start w:val="1"/>
      <w:numFmt w:val="bullet"/>
      <w:lvlText w:val="o"/>
      <w:lvlJc w:val="left"/>
      <w:pPr>
        <w:ind w:left="1440" w:hanging="360"/>
      </w:pPr>
      <w:rPr>
        <w:rFonts w:ascii="Courier New" w:hAnsi="Courier New" w:hint="default"/>
      </w:rPr>
    </w:lvl>
    <w:lvl w:ilvl="2" w:tplc="844E0F1E">
      <w:start w:val="1"/>
      <w:numFmt w:val="bullet"/>
      <w:lvlText w:val=""/>
      <w:lvlJc w:val="left"/>
      <w:pPr>
        <w:ind w:left="2160" w:hanging="360"/>
      </w:pPr>
      <w:rPr>
        <w:rFonts w:ascii="Wingdings" w:hAnsi="Wingdings" w:hint="default"/>
      </w:rPr>
    </w:lvl>
    <w:lvl w:ilvl="3" w:tplc="68306B90">
      <w:start w:val="1"/>
      <w:numFmt w:val="bullet"/>
      <w:lvlText w:val=""/>
      <w:lvlJc w:val="left"/>
      <w:pPr>
        <w:ind w:left="2880" w:hanging="360"/>
      </w:pPr>
      <w:rPr>
        <w:rFonts w:ascii="Symbol" w:hAnsi="Symbol" w:hint="default"/>
      </w:rPr>
    </w:lvl>
    <w:lvl w:ilvl="4" w:tplc="FE908D1A">
      <w:start w:val="1"/>
      <w:numFmt w:val="bullet"/>
      <w:lvlText w:val="o"/>
      <w:lvlJc w:val="left"/>
      <w:pPr>
        <w:ind w:left="3600" w:hanging="360"/>
      </w:pPr>
      <w:rPr>
        <w:rFonts w:ascii="Courier New" w:hAnsi="Courier New" w:hint="default"/>
      </w:rPr>
    </w:lvl>
    <w:lvl w:ilvl="5" w:tplc="7F80E862">
      <w:start w:val="1"/>
      <w:numFmt w:val="bullet"/>
      <w:lvlText w:val=""/>
      <w:lvlJc w:val="left"/>
      <w:pPr>
        <w:ind w:left="4320" w:hanging="360"/>
      </w:pPr>
      <w:rPr>
        <w:rFonts w:ascii="Wingdings" w:hAnsi="Wingdings" w:hint="default"/>
      </w:rPr>
    </w:lvl>
    <w:lvl w:ilvl="6" w:tplc="73C6F82A">
      <w:start w:val="1"/>
      <w:numFmt w:val="bullet"/>
      <w:lvlText w:val=""/>
      <w:lvlJc w:val="left"/>
      <w:pPr>
        <w:ind w:left="5040" w:hanging="360"/>
      </w:pPr>
      <w:rPr>
        <w:rFonts w:ascii="Symbol" w:hAnsi="Symbol" w:hint="default"/>
      </w:rPr>
    </w:lvl>
    <w:lvl w:ilvl="7" w:tplc="F01E4914">
      <w:start w:val="1"/>
      <w:numFmt w:val="bullet"/>
      <w:lvlText w:val="o"/>
      <w:lvlJc w:val="left"/>
      <w:pPr>
        <w:ind w:left="5760" w:hanging="360"/>
      </w:pPr>
      <w:rPr>
        <w:rFonts w:ascii="Courier New" w:hAnsi="Courier New" w:hint="default"/>
      </w:rPr>
    </w:lvl>
    <w:lvl w:ilvl="8" w:tplc="0B925278">
      <w:start w:val="1"/>
      <w:numFmt w:val="bullet"/>
      <w:lvlText w:val=""/>
      <w:lvlJc w:val="left"/>
      <w:pPr>
        <w:ind w:left="6480" w:hanging="360"/>
      </w:pPr>
      <w:rPr>
        <w:rFonts w:ascii="Wingdings" w:hAnsi="Wingdings" w:hint="default"/>
      </w:rPr>
    </w:lvl>
  </w:abstractNum>
  <w:abstractNum w:abstractNumId="33" w15:restartNumberingAfterBreak="0">
    <w:nsid w:val="6BA30CC9"/>
    <w:multiLevelType w:val="multilevel"/>
    <w:tmpl w:val="359E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A60C58"/>
    <w:multiLevelType w:val="multilevel"/>
    <w:tmpl w:val="60B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D4E96"/>
    <w:multiLevelType w:val="multilevel"/>
    <w:tmpl w:val="30DA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54DFD"/>
    <w:multiLevelType w:val="hybridMultilevel"/>
    <w:tmpl w:val="6586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394BE5"/>
    <w:multiLevelType w:val="multilevel"/>
    <w:tmpl w:val="CF0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1047C0"/>
    <w:multiLevelType w:val="multilevel"/>
    <w:tmpl w:val="CEDC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77127"/>
    <w:multiLevelType w:val="hybridMultilevel"/>
    <w:tmpl w:val="4DBE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63017"/>
    <w:multiLevelType w:val="multilevel"/>
    <w:tmpl w:val="F5C0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86E6C"/>
    <w:multiLevelType w:val="multilevel"/>
    <w:tmpl w:val="F71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D5FD8"/>
    <w:multiLevelType w:val="multilevel"/>
    <w:tmpl w:val="4810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C05242"/>
    <w:multiLevelType w:val="multilevel"/>
    <w:tmpl w:val="F5C0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EF5D1A"/>
    <w:multiLevelType w:val="hybridMultilevel"/>
    <w:tmpl w:val="323C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A3FA6"/>
    <w:multiLevelType w:val="multilevel"/>
    <w:tmpl w:val="1C36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746480">
    <w:abstractNumId w:val="0"/>
  </w:num>
  <w:num w:numId="2" w16cid:durableId="453523221">
    <w:abstractNumId w:val="19"/>
  </w:num>
  <w:num w:numId="3" w16cid:durableId="978458751">
    <w:abstractNumId w:val="20"/>
  </w:num>
  <w:num w:numId="4" w16cid:durableId="280305029">
    <w:abstractNumId w:val="32"/>
  </w:num>
  <w:num w:numId="5" w16cid:durableId="1979145651">
    <w:abstractNumId w:val="17"/>
  </w:num>
  <w:num w:numId="6" w16cid:durableId="1354451316">
    <w:abstractNumId w:val="37"/>
  </w:num>
  <w:num w:numId="7" w16cid:durableId="1148742235">
    <w:abstractNumId w:val="10"/>
  </w:num>
  <w:num w:numId="8" w16cid:durableId="2144543718">
    <w:abstractNumId w:val="41"/>
  </w:num>
  <w:num w:numId="9" w16cid:durableId="1183932850">
    <w:abstractNumId w:val="27"/>
  </w:num>
  <w:num w:numId="10" w16cid:durableId="353045225">
    <w:abstractNumId w:val="22"/>
  </w:num>
  <w:num w:numId="11" w16cid:durableId="1149665120">
    <w:abstractNumId w:val="24"/>
  </w:num>
  <w:num w:numId="12" w16cid:durableId="239604764">
    <w:abstractNumId w:val="31"/>
  </w:num>
  <w:num w:numId="13" w16cid:durableId="1812017430">
    <w:abstractNumId w:val="14"/>
  </w:num>
  <w:num w:numId="14" w16cid:durableId="1880163169">
    <w:abstractNumId w:val="26"/>
  </w:num>
  <w:num w:numId="15" w16cid:durableId="87849536">
    <w:abstractNumId w:val="38"/>
  </w:num>
  <w:num w:numId="16" w16cid:durableId="801385199">
    <w:abstractNumId w:val="16"/>
  </w:num>
  <w:num w:numId="17" w16cid:durableId="2058509559">
    <w:abstractNumId w:val="30"/>
  </w:num>
  <w:num w:numId="18" w16cid:durableId="812673638">
    <w:abstractNumId w:val="15"/>
  </w:num>
  <w:num w:numId="19" w16cid:durableId="1291086700">
    <w:abstractNumId w:val="4"/>
  </w:num>
  <w:num w:numId="20" w16cid:durableId="1875265183">
    <w:abstractNumId w:val="23"/>
  </w:num>
  <w:num w:numId="21" w16cid:durableId="891617897">
    <w:abstractNumId w:val="2"/>
  </w:num>
  <w:num w:numId="22" w16cid:durableId="627127748">
    <w:abstractNumId w:val="12"/>
  </w:num>
  <w:num w:numId="23" w16cid:durableId="1578511047">
    <w:abstractNumId w:val="35"/>
  </w:num>
  <w:num w:numId="24" w16cid:durableId="1990940607">
    <w:abstractNumId w:val="25"/>
  </w:num>
  <w:num w:numId="25" w16cid:durableId="1794669059">
    <w:abstractNumId w:val="28"/>
  </w:num>
  <w:num w:numId="26" w16cid:durableId="595023645">
    <w:abstractNumId w:val="8"/>
  </w:num>
  <w:num w:numId="27" w16cid:durableId="1110927583">
    <w:abstractNumId w:val="13"/>
  </w:num>
  <w:num w:numId="28" w16cid:durableId="1709174">
    <w:abstractNumId w:val="3"/>
  </w:num>
  <w:num w:numId="29" w16cid:durableId="1684093629">
    <w:abstractNumId w:val="5"/>
  </w:num>
  <w:num w:numId="30" w16cid:durableId="352476">
    <w:abstractNumId w:val="9"/>
  </w:num>
  <w:num w:numId="31" w16cid:durableId="1564484018">
    <w:abstractNumId w:val="11"/>
  </w:num>
  <w:num w:numId="32" w16cid:durableId="604462667">
    <w:abstractNumId w:val="34"/>
  </w:num>
  <w:num w:numId="33" w16cid:durableId="1066953356">
    <w:abstractNumId w:val="18"/>
  </w:num>
  <w:num w:numId="34" w16cid:durableId="1467622725">
    <w:abstractNumId w:val="29"/>
  </w:num>
  <w:num w:numId="35" w16cid:durableId="104158153">
    <w:abstractNumId w:val="45"/>
  </w:num>
  <w:num w:numId="36" w16cid:durableId="1622031210">
    <w:abstractNumId w:val="42"/>
  </w:num>
  <w:num w:numId="37" w16cid:durableId="907226383">
    <w:abstractNumId w:val="33"/>
  </w:num>
  <w:num w:numId="38" w16cid:durableId="2005549289">
    <w:abstractNumId w:val="21"/>
  </w:num>
  <w:num w:numId="39" w16cid:durableId="1015184671">
    <w:abstractNumId w:val="43"/>
  </w:num>
  <w:num w:numId="40" w16cid:durableId="611472352">
    <w:abstractNumId w:val="36"/>
  </w:num>
  <w:num w:numId="41" w16cid:durableId="779107037">
    <w:abstractNumId w:val="39"/>
  </w:num>
  <w:num w:numId="42" w16cid:durableId="1986817014">
    <w:abstractNumId w:val="44"/>
  </w:num>
  <w:num w:numId="43" w16cid:durableId="1696618865">
    <w:abstractNumId w:val="7"/>
  </w:num>
  <w:num w:numId="44" w16cid:durableId="1599606573">
    <w:abstractNumId w:val="40"/>
  </w:num>
  <w:num w:numId="45" w16cid:durableId="635646828">
    <w:abstractNumId w:val="6"/>
  </w:num>
  <w:num w:numId="46" w16cid:durableId="51540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Martin">
    <w15:presenceInfo w15:providerId="AD" w15:userId="S::smartin@ncbex.org::edefa160-9b23-435b-a8e8-48a8a5909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2B"/>
    <w:rsid w:val="00031B13"/>
    <w:rsid w:val="00042B6E"/>
    <w:rsid w:val="00047510"/>
    <w:rsid w:val="0006121D"/>
    <w:rsid w:val="0008490D"/>
    <w:rsid w:val="000969C7"/>
    <w:rsid w:val="000B2E31"/>
    <w:rsid w:val="000C0DC2"/>
    <w:rsid w:val="000D5AFC"/>
    <w:rsid w:val="00141104"/>
    <w:rsid w:val="00143C92"/>
    <w:rsid w:val="00145C93"/>
    <w:rsid w:val="00150030"/>
    <w:rsid w:val="00175B06"/>
    <w:rsid w:val="00281D1A"/>
    <w:rsid w:val="002F24E1"/>
    <w:rsid w:val="003018D9"/>
    <w:rsid w:val="003208BC"/>
    <w:rsid w:val="00363D1E"/>
    <w:rsid w:val="0038222F"/>
    <w:rsid w:val="00383F0E"/>
    <w:rsid w:val="00417350"/>
    <w:rsid w:val="0043387E"/>
    <w:rsid w:val="00442E2B"/>
    <w:rsid w:val="00465A5A"/>
    <w:rsid w:val="00481721"/>
    <w:rsid w:val="0050402F"/>
    <w:rsid w:val="00505E38"/>
    <w:rsid w:val="00521B9F"/>
    <w:rsid w:val="0054636E"/>
    <w:rsid w:val="005A2DC7"/>
    <w:rsid w:val="005E6F28"/>
    <w:rsid w:val="00603C48"/>
    <w:rsid w:val="00627703"/>
    <w:rsid w:val="006B6059"/>
    <w:rsid w:val="0073237E"/>
    <w:rsid w:val="007332E2"/>
    <w:rsid w:val="007A1018"/>
    <w:rsid w:val="007B717D"/>
    <w:rsid w:val="007E032B"/>
    <w:rsid w:val="00833129"/>
    <w:rsid w:val="008820CA"/>
    <w:rsid w:val="008B7FC5"/>
    <w:rsid w:val="009071DC"/>
    <w:rsid w:val="0094372A"/>
    <w:rsid w:val="0096409C"/>
    <w:rsid w:val="0099619F"/>
    <w:rsid w:val="00A4249C"/>
    <w:rsid w:val="00A74E45"/>
    <w:rsid w:val="00A76F4A"/>
    <w:rsid w:val="00A96EDD"/>
    <w:rsid w:val="00AB54B0"/>
    <w:rsid w:val="00AB6302"/>
    <w:rsid w:val="00AC0DCF"/>
    <w:rsid w:val="00B07D5E"/>
    <w:rsid w:val="00B57B81"/>
    <w:rsid w:val="00BA5175"/>
    <w:rsid w:val="00BD0EE9"/>
    <w:rsid w:val="00C6750A"/>
    <w:rsid w:val="00C758E2"/>
    <w:rsid w:val="00CA5FBD"/>
    <w:rsid w:val="00CB2709"/>
    <w:rsid w:val="00D6317F"/>
    <w:rsid w:val="00DB2845"/>
    <w:rsid w:val="00DD1C0B"/>
    <w:rsid w:val="00DE69C9"/>
    <w:rsid w:val="00E6514F"/>
    <w:rsid w:val="00E81F48"/>
    <w:rsid w:val="00E879E3"/>
    <w:rsid w:val="00EB640E"/>
    <w:rsid w:val="00F30CF1"/>
    <w:rsid w:val="00F80271"/>
    <w:rsid w:val="00FA37D4"/>
    <w:rsid w:val="00FB0B2B"/>
    <w:rsid w:val="018F7A63"/>
    <w:rsid w:val="02F1AE54"/>
    <w:rsid w:val="08229FB0"/>
    <w:rsid w:val="0CB2525F"/>
    <w:rsid w:val="0D01B735"/>
    <w:rsid w:val="0F458A09"/>
    <w:rsid w:val="13EB3883"/>
    <w:rsid w:val="16375ABA"/>
    <w:rsid w:val="1690192F"/>
    <w:rsid w:val="1AC2E228"/>
    <w:rsid w:val="1C3EEBBE"/>
    <w:rsid w:val="1C8B9233"/>
    <w:rsid w:val="1E51717C"/>
    <w:rsid w:val="1E97734D"/>
    <w:rsid w:val="1ED9AF70"/>
    <w:rsid w:val="2005C97F"/>
    <w:rsid w:val="21579500"/>
    <w:rsid w:val="2185C06E"/>
    <w:rsid w:val="2211CB7F"/>
    <w:rsid w:val="22BC9F46"/>
    <w:rsid w:val="2498E82B"/>
    <w:rsid w:val="2658269D"/>
    <w:rsid w:val="2661A8A2"/>
    <w:rsid w:val="28F78E96"/>
    <w:rsid w:val="2A3D6755"/>
    <w:rsid w:val="2B4FC3BF"/>
    <w:rsid w:val="2D800F31"/>
    <w:rsid w:val="2E3531BF"/>
    <w:rsid w:val="2E557021"/>
    <w:rsid w:val="2E961B04"/>
    <w:rsid w:val="31DE31DF"/>
    <w:rsid w:val="32CBFBC4"/>
    <w:rsid w:val="3441E676"/>
    <w:rsid w:val="34E8A946"/>
    <w:rsid w:val="36CF1890"/>
    <w:rsid w:val="37ACA1BB"/>
    <w:rsid w:val="3B50D4E2"/>
    <w:rsid w:val="3CBC04CB"/>
    <w:rsid w:val="3D051EC7"/>
    <w:rsid w:val="3DB8B825"/>
    <w:rsid w:val="3E2A12A4"/>
    <w:rsid w:val="400DADE4"/>
    <w:rsid w:val="4050C06D"/>
    <w:rsid w:val="41C5BB30"/>
    <w:rsid w:val="42264638"/>
    <w:rsid w:val="46A45486"/>
    <w:rsid w:val="47A3D2A4"/>
    <w:rsid w:val="47B10F3E"/>
    <w:rsid w:val="48D8369B"/>
    <w:rsid w:val="49F76817"/>
    <w:rsid w:val="4B1507C5"/>
    <w:rsid w:val="4B831A8D"/>
    <w:rsid w:val="4EBCC24B"/>
    <w:rsid w:val="4F8B8F47"/>
    <w:rsid w:val="4FA53AA4"/>
    <w:rsid w:val="4FFEF963"/>
    <w:rsid w:val="5139BCCC"/>
    <w:rsid w:val="51459BBB"/>
    <w:rsid w:val="515E77BB"/>
    <w:rsid w:val="53DAB785"/>
    <w:rsid w:val="5629C337"/>
    <w:rsid w:val="58554628"/>
    <w:rsid w:val="59A0EB32"/>
    <w:rsid w:val="59B014F1"/>
    <w:rsid w:val="5A7223AE"/>
    <w:rsid w:val="5C1068C2"/>
    <w:rsid w:val="5C54FF31"/>
    <w:rsid w:val="5E8DD591"/>
    <w:rsid w:val="5EEA7C27"/>
    <w:rsid w:val="60512DDD"/>
    <w:rsid w:val="60B5F218"/>
    <w:rsid w:val="60BE8BCD"/>
    <w:rsid w:val="61082087"/>
    <w:rsid w:val="615BE064"/>
    <w:rsid w:val="61BE69F3"/>
    <w:rsid w:val="627A2BF9"/>
    <w:rsid w:val="62AA7D88"/>
    <w:rsid w:val="63D98F27"/>
    <w:rsid w:val="646362D2"/>
    <w:rsid w:val="66FE8F66"/>
    <w:rsid w:val="677804FF"/>
    <w:rsid w:val="6AB032A2"/>
    <w:rsid w:val="6AF2CA61"/>
    <w:rsid w:val="6FF903F0"/>
    <w:rsid w:val="717DA16A"/>
    <w:rsid w:val="742E68A0"/>
    <w:rsid w:val="747A016E"/>
    <w:rsid w:val="74D6CE4B"/>
    <w:rsid w:val="7520991C"/>
    <w:rsid w:val="759E10FC"/>
    <w:rsid w:val="763517D9"/>
    <w:rsid w:val="76EE7034"/>
    <w:rsid w:val="76F86930"/>
    <w:rsid w:val="7858CBD2"/>
    <w:rsid w:val="7B786E08"/>
    <w:rsid w:val="7C1F0FFE"/>
    <w:rsid w:val="7D4E9A0E"/>
    <w:rsid w:val="7DC93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3E5B2"/>
  <w15:chartTrackingRefBased/>
  <w15:docId w15:val="{1E781F2C-DF12-4DA8-AFF5-B9A7F307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32B"/>
    <w:rPr>
      <w:rFonts w:eastAsiaTheme="majorEastAsia" w:cstheme="majorBidi"/>
      <w:color w:val="272727" w:themeColor="text1" w:themeTint="D8"/>
    </w:rPr>
  </w:style>
  <w:style w:type="paragraph" w:styleId="Title">
    <w:name w:val="Title"/>
    <w:basedOn w:val="Normal"/>
    <w:next w:val="Normal"/>
    <w:link w:val="TitleChar"/>
    <w:uiPriority w:val="10"/>
    <w:qFormat/>
    <w:rsid w:val="007E0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32B"/>
    <w:pPr>
      <w:spacing w:before="160"/>
      <w:jc w:val="center"/>
    </w:pPr>
    <w:rPr>
      <w:i/>
      <w:iCs/>
      <w:color w:val="404040" w:themeColor="text1" w:themeTint="BF"/>
    </w:rPr>
  </w:style>
  <w:style w:type="character" w:customStyle="1" w:styleId="QuoteChar">
    <w:name w:val="Quote Char"/>
    <w:basedOn w:val="DefaultParagraphFont"/>
    <w:link w:val="Quote"/>
    <w:uiPriority w:val="29"/>
    <w:rsid w:val="007E032B"/>
    <w:rPr>
      <w:i/>
      <w:iCs/>
      <w:color w:val="404040" w:themeColor="text1" w:themeTint="BF"/>
    </w:rPr>
  </w:style>
  <w:style w:type="paragraph" w:styleId="ListParagraph">
    <w:name w:val="List Paragraph"/>
    <w:basedOn w:val="Normal"/>
    <w:uiPriority w:val="34"/>
    <w:qFormat/>
    <w:rsid w:val="007E032B"/>
    <w:pPr>
      <w:ind w:left="720"/>
      <w:contextualSpacing/>
    </w:pPr>
  </w:style>
  <w:style w:type="character" w:styleId="IntenseEmphasis">
    <w:name w:val="Intense Emphasis"/>
    <w:basedOn w:val="DefaultParagraphFont"/>
    <w:uiPriority w:val="21"/>
    <w:qFormat/>
    <w:rsid w:val="007E032B"/>
    <w:rPr>
      <w:i/>
      <w:iCs/>
      <w:color w:val="0F4761" w:themeColor="accent1" w:themeShade="BF"/>
    </w:rPr>
  </w:style>
  <w:style w:type="paragraph" w:styleId="IntenseQuote">
    <w:name w:val="Intense Quote"/>
    <w:basedOn w:val="Normal"/>
    <w:next w:val="Normal"/>
    <w:link w:val="IntenseQuoteChar"/>
    <w:uiPriority w:val="30"/>
    <w:qFormat/>
    <w:rsid w:val="007E0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32B"/>
    <w:rPr>
      <w:i/>
      <w:iCs/>
      <w:color w:val="0F4761" w:themeColor="accent1" w:themeShade="BF"/>
    </w:rPr>
  </w:style>
  <w:style w:type="character" w:styleId="IntenseReference">
    <w:name w:val="Intense Reference"/>
    <w:basedOn w:val="DefaultParagraphFont"/>
    <w:uiPriority w:val="32"/>
    <w:qFormat/>
    <w:rsid w:val="007E032B"/>
    <w:rPr>
      <w:b/>
      <w:bCs/>
      <w:smallCaps/>
      <w:color w:val="0F4761" w:themeColor="accent1" w:themeShade="BF"/>
      <w:spacing w:val="5"/>
    </w:rPr>
  </w:style>
  <w:style w:type="character" w:styleId="Hyperlink">
    <w:name w:val="Hyperlink"/>
    <w:basedOn w:val="DefaultParagraphFont"/>
    <w:uiPriority w:val="99"/>
    <w:unhideWhenUsed/>
    <w:rsid w:val="00603C48"/>
    <w:rPr>
      <w:color w:val="467886" w:themeColor="hyperlink"/>
      <w:u w:val="single"/>
    </w:rPr>
  </w:style>
  <w:style w:type="character" w:styleId="UnresolvedMention">
    <w:name w:val="Unresolved Mention"/>
    <w:basedOn w:val="DefaultParagraphFont"/>
    <w:uiPriority w:val="99"/>
    <w:semiHidden/>
    <w:unhideWhenUsed/>
    <w:rsid w:val="00603C48"/>
    <w:rPr>
      <w:color w:val="605E5C"/>
      <w:shd w:val="clear" w:color="auto" w:fill="E1DFDD"/>
    </w:rPr>
  </w:style>
  <w:style w:type="character" w:styleId="CommentReference">
    <w:name w:val="annotation reference"/>
    <w:basedOn w:val="DefaultParagraphFont"/>
    <w:uiPriority w:val="99"/>
    <w:semiHidden/>
    <w:unhideWhenUsed/>
    <w:rsid w:val="00DD1C0B"/>
    <w:rPr>
      <w:sz w:val="16"/>
      <w:szCs w:val="16"/>
    </w:rPr>
  </w:style>
  <w:style w:type="paragraph" w:styleId="CommentText">
    <w:name w:val="annotation text"/>
    <w:basedOn w:val="Normal"/>
    <w:link w:val="CommentTextChar"/>
    <w:uiPriority w:val="99"/>
    <w:unhideWhenUsed/>
    <w:rsid w:val="00DD1C0B"/>
    <w:pPr>
      <w:spacing w:line="240" w:lineRule="auto"/>
    </w:pPr>
    <w:rPr>
      <w:sz w:val="20"/>
      <w:szCs w:val="20"/>
    </w:rPr>
  </w:style>
  <w:style w:type="character" w:customStyle="1" w:styleId="CommentTextChar">
    <w:name w:val="Comment Text Char"/>
    <w:basedOn w:val="DefaultParagraphFont"/>
    <w:link w:val="CommentText"/>
    <w:uiPriority w:val="99"/>
    <w:rsid w:val="00DD1C0B"/>
    <w:rPr>
      <w:sz w:val="20"/>
      <w:szCs w:val="20"/>
    </w:rPr>
  </w:style>
  <w:style w:type="paragraph" w:styleId="CommentSubject">
    <w:name w:val="annotation subject"/>
    <w:basedOn w:val="CommentText"/>
    <w:next w:val="CommentText"/>
    <w:link w:val="CommentSubjectChar"/>
    <w:uiPriority w:val="99"/>
    <w:semiHidden/>
    <w:unhideWhenUsed/>
    <w:rsid w:val="00DD1C0B"/>
    <w:rPr>
      <w:b/>
      <w:bCs/>
    </w:rPr>
  </w:style>
  <w:style w:type="character" w:customStyle="1" w:styleId="CommentSubjectChar">
    <w:name w:val="Comment Subject Char"/>
    <w:basedOn w:val="CommentTextChar"/>
    <w:link w:val="CommentSubject"/>
    <w:uiPriority w:val="99"/>
    <w:semiHidden/>
    <w:rsid w:val="00DD1C0B"/>
    <w:rPr>
      <w:b/>
      <w:bCs/>
      <w:sz w:val="20"/>
      <w:szCs w:val="20"/>
    </w:rPr>
  </w:style>
  <w:style w:type="paragraph" w:styleId="Revision">
    <w:name w:val="Revision"/>
    <w:hidden/>
    <w:uiPriority w:val="99"/>
    <w:semiHidden/>
    <w:rsid w:val="00521B9F"/>
    <w:pPr>
      <w:spacing w:after="0" w:line="240" w:lineRule="auto"/>
    </w:pPr>
  </w:style>
  <w:style w:type="paragraph" w:styleId="Header">
    <w:name w:val="header"/>
    <w:basedOn w:val="Normal"/>
    <w:link w:val="HeaderChar"/>
    <w:uiPriority w:val="99"/>
    <w:unhideWhenUsed/>
    <w:rsid w:val="00521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9F"/>
  </w:style>
  <w:style w:type="paragraph" w:styleId="Footer">
    <w:name w:val="footer"/>
    <w:basedOn w:val="Normal"/>
    <w:link w:val="FooterChar"/>
    <w:uiPriority w:val="99"/>
    <w:unhideWhenUsed/>
    <w:rsid w:val="00521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9F"/>
  </w:style>
  <w:style w:type="paragraph" w:customStyle="1" w:styleId="clearfix">
    <w:name w:val="clearfix"/>
    <w:basedOn w:val="Normal"/>
    <w:rsid w:val="00C6750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ild-aut">
    <w:name w:val="child-aut"/>
    <w:basedOn w:val="Normal"/>
    <w:rsid w:val="00C6750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lstaxauthors">
    <w:name w:val="clstaxauthors"/>
    <w:basedOn w:val="DefaultParagraphFont"/>
    <w:rsid w:val="00C6750A"/>
  </w:style>
  <w:style w:type="paragraph" w:customStyle="1" w:styleId="topics-details1">
    <w:name w:val="topics-details1"/>
    <w:basedOn w:val="Normal"/>
    <w:rsid w:val="00C6750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501">
      <w:bodyDiv w:val="1"/>
      <w:marLeft w:val="0"/>
      <w:marRight w:val="0"/>
      <w:marTop w:val="0"/>
      <w:marBottom w:val="0"/>
      <w:divBdr>
        <w:top w:val="none" w:sz="0" w:space="0" w:color="auto"/>
        <w:left w:val="none" w:sz="0" w:space="0" w:color="auto"/>
        <w:bottom w:val="none" w:sz="0" w:space="0" w:color="auto"/>
        <w:right w:val="none" w:sz="0" w:space="0" w:color="auto"/>
      </w:divBdr>
    </w:div>
    <w:div w:id="60644664">
      <w:bodyDiv w:val="1"/>
      <w:marLeft w:val="0"/>
      <w:marRight w:val="0"/>
      <w:marTop w:val="0"/>
      <w:marBottom w:val="0"/>
      <w:divBdr>
        <w:top w:val="none" w:sz="0" w:space="0" w:color="auto"/>
        <w:left w:val="none" w:sz="0" w:space="0" w:color="auto"/>
        <w:bottom w:val="none" w:sz="0" w:space="0" w:color="auto"/>
        <w:right w:val="none" w:sz="0" w:space="0" w:color="auto"/>
      </w:divBdr>
    </w:div>
    <w:div w:id="68314231">
      <w:bodyDiv w:val="1"/>
      <w:marLeft w:val="0"/>
      <w:marRight w:val="0"/>
      <w:marTop w:val="0"/>
      <w:marBottom w:val="0"/>
      <w:divBdr>
        <w:top w:val="none" w:sz="0" w:space="0" w:color="auto"/>
        <w:left w:val="none" w:sz="0" w:space="0" w:color="auto"/>
        <w:bottom w:val="none" w:sz="0" w:space="0" w:color="auto"/>
        <w:right w:val="none" w:sz="0" w:space="0" w:color="auto"/>
      </w:divBdr>
    </w:div>
    <w:div w:id="86315343">
      <w:bodyDiv w:val="1"/>
      <w:marLeft w:val="0"/>
      <w:marRight w:val="0"/>
      <w:marTop w:val="0"/>
      <w:marBottom w:val="0"/>
      <w:divBdr>
        <w:top w:val="none" w:sz="0" w:space="0" w:color="auto"/>
        <w:left w:val="none" w:sz="0" w:space="0" w:color="auto"/>
        <w:bottom w:val="none" w:sz="0" w:space="0" w:color="auto"/>
        <w:right w:val="none" w:sz="0" w:space="0" w:color="auto"/>
      </w:divBdr>
    </w:div>
    <w:div w:id="127093232">
      <w:bodyDiv w:val="1"/>
      <w:marLeft w:val="0"/>
      <w:marRight w:val="0"/>
      <w:marTop w:val="0"/>
      <w:marBottom w:val="0"/>
      <w:divBdr>
        <w:top w:val="none" w:sz="0" w:space="0" w:color="auto"/>
        <w:left w:val="none" w:sz="0" w:space="0" w:color="auto"/>
        <w:bottom w:val="none" w:sz="0" w:space="0" w:color="auto"/>
        <w:right w:val="none" w:sz="0" w:space="0" w:color="auto"/>
      </w:divBdr>
    </w:div>
    <w:div w:id="257182594">
      <w:bodyDiv w:val="1"/>
      <w:marLeft w:val="0"/>
      <w:marRight w:val="0"/>
      <w:marTop w:val="0"/>
      <w:marBottom w:val="0"/>
      <w:divBdr>
        <w:top w:val="none" w:sz="0" w:space="0" w:color="auto"/>
        <w:left w:val="none" w:sz="0" w:space="0" w:color="auto"/>
        <w:bottom w:val="none" w:sz="0" w:space="0" w:color="auto"/>
        <w:right w:val="none" w:sz="0" w:space="0" w:color="auto"/>
      </w:divBdr>
    </w:div>
    <w:div w:id="281696764">
      <w:bodyDiv w:val="1"/>
      <w:marLeft w:val="0"/>
      <w:marRight w:val="0"/>
      <w:marTop w:val="0"/>
      <w:marBottom w:val="0"/>
      <w:divBdr>
        <w:top w:val="none" w:sz="0" w:space="0" w:color="auto"/>
        <w:left w:val="none" w:sz="0" w:space="0" w:color="auto"/>
        <w:bottom w:val="none" w:sz="0" w:space="0" w:color="auto"/>
        <w:right w:val="none" w:sz="0" w:space="0" w:color="auto"/>
      </w:divBdr>
    </w:div>
    <w:div w:id="330177879">
      <w:bodyDiv w:val="1"/>
      <w:marLeft w:val="0"/>
      <w:marRight w:val="0"/>
      <w:marTop w:val="0"/>
      <w:marBottom w:val="0"/>
      <w:divBdr>
        <w:top w:val="none" w:sz="0" w:space="0" w:color="auto"/>
        <w:left w:val="none" w:sz="0" w:space="0" w:color="auto"/>
        <w:bottom w:val="none" w:sz="0" w:space="0" w:color="auto"/>
        <w:right w:val="none" w:sz="0" w:space="0" w:color="auto"/>
      </w:divBdr>
    </w:div>
    <w:div w:id="394864000">
      <w:bodyDiv w:val="1"/>
      <w:marLeft w:val="0"/>
      <w:marRight w:val="0"/>
      <w:marTop w:val="0"/>
      <w:marBottom w:val="0"/>
      <w:divBdr>
        <w:top w:val="none" w:sz="0" w:space="0" w:color="auto"/>
        <w:left w:val="none" w:sz="0" w:space="0" w:color="auto"/>
        <w:bottom w:val="none" w:sz="0" w:space="0" w:color="auto"/>
        <w:right w:val="none" w:sz="0" w:space="0" w:color="auto"/>
      </w:divBdr>
    </w:div>
    <w:div w:id="401758774">
      <w:bodyDiv w:val="1"/>
      <w:marLeft w:val="0"/>
      <w:marRight w:val="0"/>
      <w:marTop w:val="0"/>
      <w:marBottom w:val="0"/>
      <w:divBdr>
        <w:top w:val="none" w:sz="0" w:space="0" w:color="auto"/>
        <w:left w:val="none" w:sz="0" w:space="0" w:color="auto"/>
        <w:bottom w:val="none" w:sz="0" w:space="0" w:color="auto"/>
        <w:right w:val="none" w:sz="0" w:space="0" w:color="auto"/>
      </w:divBdr>
      <w:divsChild>
        <w:div w:id="2052876430">
          <w:marLeft w:val="0"/>
          <w:marRight w:val="0"/>
          <w:marTop w:val="0"/>
          <w:marBottom w:val="0"/>
          <w:divBdr>
            <w:top w:val="none" w:sz="0" w:space="0" w:color="auto"/>
            <w:left w:val="none" w:sz="0" w:space="0" w:color="auto"/>
            <w:bottom w:val="none" w:sz="0" w:space="0" w:color="auto"/>
            <w:right w:val="none" w:sz="0" w:space="0" w:color="auto"/>
          </w:divBdr>
        </w:div>
      </w:divsChild>
    </w:div>
    <w:div w:id="410852099">
      <w:bodyDiv w:val="1"/>
      <w:marLeft w:val="0"/>
      <w:marRight w:val="0"/>
      <w:marTop w:val="0"/>
      <w:marBottom w:val="0"/>
      <w:divBdr>
        <w:top w:val="none" w:sz="0" w:space="0" w:color="auto"/>
        <w:left w:val="none" w:sz="0" w:space="0" w:color="auto"/>
        <w:bottom w:val="none" w:sz="0" w:space="0" w:color="auto"/>
        <w:right w:val="none" w:sz="0" w:space="0" w:color="auto"/>
      </w:divBdr>
    </w:div>
    <w:div w:id="576866397">
      <w:bodyDiv w:val="1"/>
      <w:marLeft w:val="0"/>
      <w:marRight w:val="0"/>
      <w:marTop w:val="0"/>
      <w:marBottom w:val="0"/>
      <w:divBdr>
        <w:top w:val="none" w:sz="0" w:space="0" w:color="auto"/>
        <w:left w:val="none" w:sz="0" w:space="0" w:color="auto"/>
        <w:bottom w:val="none" w:sz="0" w:space="0" w:color="auto"/>
        <w:right w:val="none" w:sz="0" w:space="0" w:color="auto"/>
      </w:divBdr>
    </w:div>
    <w:div w:id="680010288">
      <w:bodyDiv w:val="1"/>
      <w:marLeft w:val="0"/>
      <w:marRight w:val="0"/>
      <w:marTop w:val="0"/>
      <w:marBottom w:val="0"/>
      <w:divBdr>
        <w:top w:val="none" w:sz="0" w:space="0" w:color="auto"/>
        <w:left w:val="none" w:sz="0" w:space="0" w:color="auto"/>
        <w:bottom w:val="none" w:sz="0" w:space="0" w:color="auto"/>
        <w:right w:val="none" w:sz="0" w:space="0" w:color="auto"/>
      </w:divBdr>
    </w:div>
    <w:div w:id="764115749">
      <w:bodyDiv w:val="1"/>
      <w:marLeft w:val="0"/>
      <w:marRight w:val="0"/>
      <w:marTop w:val="0"/>
      <w:marBottom w:val="0"/>
      <w:divBdr>
        <w:top w:val="none" w:sz="0" w:space="0" w:color="auto"/>
        <w:left w:val="none" w:sz="0" w:space="0" w:color="auto"/>
        <w:bottom w:val="none" w:sz="0" w:space="0" w:color="auto"/>
        <w:right w:val="none" w:sz="0" w:space="0" w:color="auto"/>
      </w:divBdr>
    </w:div>
    <w:div w:id="863716758">
      <w:bodyDiv w:val="1"/>
      <w:marLeft w:val="0"/>
      <w:marRight w:val="0"/>
      <w:marTop w:val="0"/>
      <w:marBottom w:val="0"/>
      <w:divBdr>
        <w:top w:val="none" w:sz="0" w:space="0" w:color="auto"/>
        <w:left w:val="none" w:sz="0" w:space="0" w:color="auto"/>
        <w:bottom w:val="none" w:sz="0" w:space="0" w:color="auto"/>
        <w:right w:val="none" w:sz="0" w:space="0" w:color="auto"/>
      </w:divBdr>
      <w:divsChild>
        <w:div w:id="1970433095">
          <w:marLeft w:val="0"/>
          <w:marRight w:val="0"/>
          <w:marTop w:val="0"/>
          <w:marBottom w:val="0"/>
          <w:divBdr>
            <w:top w:val="none" w:sz="0" w:space="0" w:color="auto"/>
            <w:left w:val="none" w:sz="0" w:space="0" w:color="auto"/>
            <w:bottom w:val="none" w:sz="0" w:space="0" w:color="auto"/>
            <w:right w:val="none" w:sz="0" w:space="0" w:color="auto"/>
          </w:divBdr>
        </w:div>
      </w:divsChild>
    </w:div>
    <w:div w:id="936444730">
      <w:bodyDiv w:val="1"/>
      <w:marLeft w:val="0"/>
      <w:marRight w:val="0"/>
      <w:marTop w:val="0"/>
      <w:marBottom w:val="0"/>
      <w:divBdr>
        <w:top w:val="none" w:sz="0" w:space="0" w:color="auto"/>
        <w:left w:val="none" w:sz="0" w:space="0" w:color="auto"/>
        <w:bottom w:val="none" w:sz="0" w:space="0" w:color="auto"/>
        <w:right w:val="none" w:sz="0" w:space="0" w:color="auto"/>
      </w:divBdr>
      <w:divsChild>
        <w:div w:id="1926917618">
          <w:marLeft w:val="0"/>
          <w:marRight w:val="0"/>
          <w:marTop w:val="0"/>
          <w:marBottom w:val="0"/>
          <w:divBdr>
            <w:top w:val="none" w:sz="0" w:space="0" w:color="auto"/>
            <w:left w:val="none" w:sz="0" w:space="0" w:color="auto"/>
            <w:bottom w:val="none" w:sz="0" w:space="0" w:color="auto"/>
            <w:right w:val="none" w:sz="0" w:space="0" w:color="auto"/>
          </w:divBdr>
        </w:div>
        <w:div w:id="2002463428">
          <w:marLeft w:val="0"/>
          <w:marRight w:val="0"/>
          <w:marTop w:val="0"/>
          <w:marBottom w:val="0"/>
          <w:divBdr>
            <w:top w:val="none" w:sz="0" w:space="0" w:color="auto"/>
            <w:left w:val="none" w:sz="0" w:space="0" w:color="auto"/>
            <w:bottom w:val="none" w:sz="0" w:space="0" w:color="auto"/>
            <w:right w:val="none" w:sz="0" w:space="0" w:color="auto"/>
          </w:divBdr>
        </w:div>
      </w:divsChild>
    </w:div>
    <w:div w:id="1016463784">
      <w:bodyDiv w:val="1"/>
      <w:marLeft w:val="0"/>
      <w:marRight w:val="0"/>
      <w:marTop w:val="0"/>
      <w:marBottom w:val="0"/>
      <w:divBdr>
        <w:top w:val="none" w:sz="0" w:space="0" w:color="auto"/>
        <w:left w:val="none" w:sz="0" w:space="0" w:color="auto"/>
        <w:bottom w:val="none" w:sz="0" w:space="0" w:color="auto"/>
        <w:right w:val="none" w:sz="0" w:space="0" w:color="auto"/>
      </w:divBdr>
    </w:div>
    <w:div w:id="1120566243">
      <w:bodyDiv w:val="1"/>
      <w:marLeft w:val="0"/>
      <w:marRight w:val="0"/>
      <w:marTop w:val="0"/>
      <w:marBottom w:val="0"/>
      <w:divBdr>
        <w:top w:val="none" w:sz="0" w:space="0" w:color="auto"/>
        <w:left w:val="none" w:sz="0" w:space="0" w:color="auto"/>
        <w:bottom w:val="none" w:sz="0" w:space="0" w:color="auto"/>
        <w:right w:val="none" w:sz="0" w:space="0" w:color="auto"/>
      </w:divBdr>
    </w:div>
    <w:div w:id="1200435261">
      <w:bodyDiv w:val="1"/>
      <w:marLeft w:val="0"/>
      <w:marRight w:val="0"/>
      <w:marTop w:val="0"/>
      <w:marBottom w:val="0"/>
      <w:divBdr>
        <w:top w:val="none" w:sz="0" w:space="0" w:color="auto"/>
        <w:left w:val="none" w:sz="0" w:space="0" w:color="auto"/>
        <w:bottom w:val="none" w:sz="0" w:space="0" w:color="auto"/>
        <w:right w:val="none" w:sz="0" w:space="0" w:color="auto"/>
      </w:divBdr>
    </w:div>
    <w:div w:id="1210603845">
      <w:bodyDiv w:val="1"/>
      <w:marLeft w:val="0"/>
      <w:marRight w:val="0"/>
      <w:marTop w:val="0"/>
      <w:marBottom w:val="0"/>
      <w:divBdr>
        <w:top w:val="none" w:sz="0" w:space="0" w:color="auto"/>
        <w:left w:val="none" w:sz="0" w:space="0" w:color="auto"/>
        <w:bottom w:val="none" w:sz="0" w:space="0" w:color="auto"/>
        <w:right w:val="none" w:sz="0" w:space="0" w:color="auto"/>
      </w:divBdr>
    </w:div>
    <w:div w:id="1447889204">
      <w:bodyDiv w:val="1"/>
      <w:marLeft w:val="0"/>
      <w:marRight w:val="0"/>
      <w:marTop w:val="0"/>
      <w:marBottom w:val="0"/>
      <w:divBdr>
        <w:top w:val="none" w:sz="0" w:space="0" w:color="auto"/>
        <w:left w:val="none" w:sz="0" w:space="0" w:color="auto"/>
        <w:bottom w:val="none" w:sz="0" w:space="0" w:color="auto"/>
        <w:right w:val="none" w:sz="0" w:space="0" w:color="auto"/>
      </w:divBdr>
    </w:div>
    <w:div w:id="1513908312">
      <w:bodyDiv w:val="1"/>
      <w:marLeft w:val="0"/>
      <w:marRight w:val="0"/>
      <w:marTop w:val="0"/>
      <w:marBottom w:val="0"/>
      <w:divBdr>
        <w:top w:val="none" w:sz="0" w:space="0" w:color="auto"/>
        <w:left w:val="none" w:sz="0" w:space="0" w:color="auto"/>
        <w:bottom w:val="none" w:sz="0" w:space="0" w:color="auto"/>
        <w:right w:val="none" w:sz="0" w:space="0" w:color="auto"/>
      </w:divBdr>
      <w:divsChild>
        <w:div w:id="501432494">
          <w:marLeft w:val="0"/>
          <w:marRight w:val="0"/>
          <w:marTop w:val="0"/>
          <w:marBottom w:val="0"/>
          <w:divBdr>
            <w:top w:val="none" w:sz="0" w:space="0" w:color="auto"/>
            <w:left w:val="none" w:sz="0" w:space="0" w:color="auto"/>
            <w:bottom w:val="none" w:sz="0" w:space="0" w:color="auto"/>
            <w:right w:val="none" w:sz="0" w:space="0" w:color="auto"/>
          </w:divBdr>
        </w:div>
      </w:divsChild>
    </w:div>
    <w:div w:id="1524636230">
      <w:bodyDiv w:val="1"/>
      <w:marLeft w:val="0"/>
      <w:marRight w:val="0"/>
      <w:marTop w:val="0"/>
      <w:marBottom w:val="0"/>
      <w:divBdr>
        <w:top w:val="none" w:sz="0" w:space="0" w:color="auto"/>
        <w:left w:val="none" w:sz="0" w:space="0" w:color="auto"/>
        <w:bottom w:val="none" w:sz="0" w:space="0" w:color="auto"/>
        <w:right w:val="none" w:sz="0" w:space="0" w:color="auto"/>
      </w:divBdr>
      <w:divsChild>
        <w:div w:id="1892811206">
          <w:marLeft w:val="0"/>
          <w:marRight w:val="0"/>
          <w:marTop w:val="0"/>
          <w:marBottom w:val="0"/>
          <w:divBdr>
            <w:top w:val="none" w:sz="0" w:space="0" w:color="auto"/>
            <w:left w:val="none" w:sz="0" w:space="0" w:color="auto"/>
            <w:bottom w:val="none" w:sz="0" w:space="0" w:color="auto"/>
            <w:right w:val="none" w:sz="0" w:space="0" w:color="auto"/>
          </w:divBdr>
          <w:divsChild>
            <w:div w:id="237449162">
              <w:marLeft w:val="0"/>
              <w:marRight w:val="0"/>
              <w:marTop w:val="0"/>
              <w:marBottom w:val="0"/>
              <w:divBdr>
                <w:top w:val="none" w:sz="0" w:space="0" w:color="auto"/>
                <w:left w:val="none" w:sz="0" w:space="0" w:color="auto"/>
                <w:bottom w:val="none" w:sz="0" w:space="0" w:color="auto"/>
                <w:right w:val="none" w:sz="0" w:space="0" w:color="auto"/>
              </w:divBdr>
              <w:divsChild>
                <w:div w:id="414670338">
                  <w:marLeft w:val="0"/>
                  <w:marRight w:val="0"/>
                  <w:marTop w:val="0"/>
                  <w:marBottom w:val="0"/>
                  <w:divBdr>
                    <w:top w:val="none" w:sz="0" w:space="0" w:color="auto"/>
                    <w:left w:val="none" w:sz="0" w:space="0" w:color="auto"/>
                    <w:bottom w:val="none" w:sz="0" w:space="0" w:color="auto"/>
                    <w:right w:val="none" w:sz="0" w:space="0" w:color="auto"/>
                  </w:divBdr>
                  <w:divsChild>
                    <w:div w:id="16724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00776">
      <w:bodyDiv w:val="1"/>
      <w:marLeft w:val="0"/>
      <w:marRight w:val="0"/>
      <w:marTop w:val="0"/>
      <w:marBottom w:val="0"/>
      <w:divBdr>
        <w:top w:val="none" w:sz="0" w:space="0" w:color="auto"/>
        <w:left w:val="none" w:sz="0" w:space="0" w:color="auto"/>
        <w:bottom w:val="none" w:sz="0" w:space="0" w:color="auto"/>
        <w:right w:val="none" w:sz="0" w:space="0" w:color="auto"/>
      </w:divBdr>
      <w:divsChild>
        <w:div w:id="294336628">
          <w:marLeft w:val="0"/>
          <w:marRight w:val="0"/>
          <w:marTop w:val="0"/>
          <w:marBottom w:val="0"/>
          <w:divBdr>
            <w:top w:val="none" w:sz="0" w:space="0" w:color="auto"/>
            <w:left w:val="none" w:sz="0" w:space="0" w:color="auto"/>
            <w:bottom w:val="none" w:sz="0" w:space="0" w:color="auto"/>
            <w:right w:val="none" w:sz="0" w:space="0" w:color="auto"/>
          </w:divBdr>
          <w:divsChild>
            <w:div w:id="536434898">
              <w:marLeft w:val="0"/>
              <w:marRight w:val="0"/>
              <w:marTop w:val="0"/>
              <w:marBottom w:val="0"/>
              <w:divBdr>
                <w:top w:val="none" w:sz="0" w:space="0" w:color="auto"/>
                <w:left w:val="none" w:sz="0" w:space="0" w:color="auto"/>
                <w:bottom w:val="none" w:sz="0" w:space="0" w:color="auto"/>
                <w:right w:val="none" w:sz="0" w:space="0" w:color="auto"/>
              </w:divBdr>
              <w:divsChild>
                <w:div w:id="1369917332">
                  <w:marLeft w:val="0"/>
                  <w:marRight w:val="0"/>
                  <w:marTop w:val="0"/>
                  <w:marBottom w:val="0"/>
                  <w:divBdr>
                    <w:top w:val="none" w:sz="0" w:space="0" w:color="auto"/>
                    <w:left w:val="none" w:sz="0" w:space="0" w:color="auto"/>
                    <w:bottom w:val="none" w:sz="0" w:space="0" w:color="auto"/>
                    <w:right w:val="none" w:sz="0" w:space="0" w:color="auto"/>
                  </w:divBdr>
                  <w:divsChild>
                    <w:div w:id="1544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020">
      <w:bodyDiv w:val="1"/>
      <w:marLeft w:val="0"/>
      <w:marRight w:val="0"/>
      <w:marTop w:val="0"/>
      <w:marBottom w:val="0"/>
      <w:divBdr>
        <w:top w:val="none" w:sz="0" w:space="0" w:color="auto"/>
        <w:left w:val="none" w:sz="0" w:space="0" w:color="auto"/>
        <w:bottom w:val="none" w:sz="0" w:space="0" w:color="auto"/>
        <w:right w:val="none" w:sz="0" w:space="0" w:color="auto"/>
      </w:divBdr>
    </w:div>
    <w:div w:id="1691909704">
      <w:bodyDiv w:val="1"/>
      <w:marLeft w:val="0"/>
      <w:marRight w:val="0"/>
      <w:marTop w:val="0"/>
      <w:marBottom w:val="0"/>
      <w:divBdr>
        <w:top w:val="none" w:sz="0" w:space="0" w:color="auto"/>
        <w:left w:val="none" w:sz="0" w:space="0" w:color="auto"/>
        <w:bottom w:val="none" w:sz="0" w:space="0" w:color="auto"/>
        <w:right w:val="none" w:sz="0" w:space="0" w:color="auto"/>
      </w:divBdr>
    </w:div>
    <w:div w:id="1792823614">
      <w:bodyDiv w:val="1"/>
      <w:marLeft w:val="0"/>
      <w:marRight w:val="0"/>
      <w:marTop w:val="0"/>
      <w:marBottom w:val="0"/>
      <w:divBdr>
        <w:top w:val="none" w:sz="0" w:space="0" w:color="auto"/>
        <w:left w:val="none" w:sz="0" w:space="0" w:color="auto"/>
        <w:bottom w:val="none" w:sz="0" w:space="0" w:color="auto"/>
        <w:right w:val="none" w:sz="0" w:space="0" w:color="auto"/>
      </w:divBdr>
    </w:div>
    <w:div w:id="1840535750">
      <w:bodyDiv w:val="1"/>
      <w:marLeft w:val="0"/>
      <w:marRight w:val="0"/>
      <w:marTop w:val="0"/>
      <w:marBottom w:val="0"/>
      <w:divBdr>
        <w:top w:val="none" w:sz="0" w:space="0" w:color="auto"/>
        <w:left w:val="none" w:sz="0" w:space="0" w:color="auto"/>
        <w:bottom w:val="none" w:sz="0" w:space="0" w:color="auto"/>
        <w:right w:val="none" w:sz="0" w:space="0" w:color="auto"/>
      </w:divBdr>
      <w:divsChild>
        <w:div w:id="1774862173">
          <w:marLeft w:val="0"/>
          <w:marRight w:val="0"/>
          <w:marTop w:val="0"/>
          <w:marBottom w:val="0"/>
          <w:divBdr>
            <w:top w:val="none" w:sz="0" w:space="0" w:color="auto"/>
            <w:left w:val="none" w:sz="0" w:space="0" w:color="auto"/>
            <w:bottom w:val="none" w:sz="0" w:space="0" w:color="auto"/>
            <w:right w:val="none" w:sz="0" w:space="0" w:color="auto"/>
          </w:divBdr>
          <w:divsChild>
            <w:div w:id="1852184410">
              <w:marLeft w:val="0"/>
              <w:marRight w:val="0"/>
              <w:marTop w:val="0"/>
              <w:marBottom w:val="0"/>
              <w:divBdr>
                <w:top w:val="none" w:sz="0" w:space="0" w:color="auto"/>
                <w:left w:val="none" w:sz="0" w:space="0" w:color="auto"/>
                <w:bottom w:val="none" w:sz="0" w:space="0" w:color="auto"/>
                <w:right w:val="none" w:sz="0" w:space="0" w:color="auto"/>
              </w:divBdr>
              <w:divsChild>
                <w:div w:id="938567823">
                  <w:marLeft w:val="0"/>
                  <w:marRight w:val="0"/>
                  <w:marTop w:val="0"/>
                  <w:marBottom w:val="0"/>
                  <w:divBdr>
                    <w:top w:val="none" w:sz="0" w:space="0" w:color="auto"/>
                    <w:left w:val="none" w:sz="0" w:space="0" w:color="auto"/>
                    <w:bottom w:val="none" w:sz="0" w:space="0" w:color="auto"/>
                    <w:right w:val="none" w:sz="0" w:space="0" w:color="auto"/>
                  </w:divBdr>
                  <w:divsChild>
                    <w:div w:id="1956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6191">
      <w:bodyDiv w:val="1"/>
      <w:marLeft w:val="0"/>
      <w:marRight w:val="0"/>
      <w:marTop w:val="0"/>
      <w:marBottom w:val="0"/>
      <w:divBdr>
        <w:top w:val="none" w:sz="0" w:space="0" w:color="auto"/>
        <w:left w:val="none" w:sz="0" w:space="0" w:color="auto"/>
        <w:bottom w:val="none" w:sz="0" w:space="0" w:color="auto"/>
        <w:right w:val="none" w:sz="0" w:space="0" w:color="auto"/>
      </w:divBdr>
    </w:div>
    <w:div w:id="1938712053">
      <w:bodyDiv w:val="1"/>
      <w:marLeft w:val="0"/>
      <w:marRight w:val="0"/>
      <w:marTop w:val="0"/>
      <w:marBottom w:val="0"/>
      <w:divBdr>
        <w:top w:val="none" w:sz="0" w:space="0" w:color="auto"/>
        <w:left w:val="none" w:sz="0" w:space="0" w:color="auto"/>
        <w:bottom w:val="none" w:sz="0" w:space="0" w:color="auto"/>
        <w:right w:val="none" w:sz="0" w:space="0" w:color="auto"/>
      </w:divBdr>
      <w:divsChild>
        <w:div w:id="1269508923">
          <w:marLeft w:val="0"/>
          <w:marRight w:val="0"/>
          <w:marTop w:val="0"/>
          <w:marBottom w:val="0"/>
          <w:divBdr>
            <w:top w:val="none" w:sz="0" w:space="0" w:color="auto"/>
            <w:left w:val="none" w:sz="0" w:space="0" w:color="auto"/>
            <w:bottom w:val="none" w:sz="0" w:space="0" w:color="auto"/>
            <w:right w:val="none" w:sz="0" w:space="0" w:color="auto"/>
          </w:divBdr>
        </w:div>
      </w:divsChild>
    </w:div>
    <w:div w:id="1959136939">
      <w:bodyDiv w:val="1"/>
      <w:marLeft w:val="0"/>
      <w:marRight w:val="0"/>
      <w:marTop w:val="0"/>
      <w:marBottom w:val="0"/>
      <w:divBdr>
        <w:top w:val="none" w:sz="0" w:space="0" w:color="auto"/>
        <w:left w:val="none" w:sz="0" w:space="0" w:color="auto"/>
        <w:bottom w:val="none" w:sz="0" w:space="0" w:color="auto"/>
        <w:right w:val="none" w:sz="0" w:space="0" w:color="auto"/>
      </w:divBdr>
    </w:div>
    <w:div w:id="2066442548">
      <w:bodyDiv w:val="1"/>
      <w:marLeft w:val="0"/>
      <w:marRight w:val="0"/>
      <w:marTop w:val="0"/>
      <w:marBottom w:val="0"/>
      <w:divBdr>
        <w:top w:val="none" w:sz="0" w:space="0" w:color="auto"/>
        <w:left w:val="none" w:sz="0" w:space="0" w:color="auto"/>
        <w:bottom w:val="none" w:sz="0" w:space="0" w:color="auto"/>
        <w:right w:val="none" w:sz="0" w:space="0" w:color="auto"/>
      </w:divBdr>
    </w:div>
    <w:div w:id="2126918821">
      <w:bodyDiv w:val="1"/>
      <w:marLeft w:val="0"/>
      <w:marRight w:val="0"/>
      <w:marTop w:val="0"/>
      <w:marBottom w:val="0"/>
      <w:divBdr>
        <w:top w:val="none" w:sz="0" w:space="0" w:color="auto"/>
        <w:left w:val="none" w:sz="0" w:space="0" w:color="auto"/>
        <w:bottom w:val="none" w:sz="0" w:space="0" w:color="auto"/>
        <w:right w:val="none" w:sz="0" w:space="0" w:color="auto"/>
      </w:divBdr>
    </w:div>
    <w:div w:id="2146308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cbex.org/jurisdictions" TargetMode="External"/></Relationship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ncbex.org/exams/mpt" TargetMode="External"/><Relationship Id="rId26" Type="http://schemas.openxmlformats.org/officeDocument/2006/relationships/hyperlink" Target="https://www.ncbex.org/exams/mpt" TargetMode="External"/><Relationship Id="rId39" Type="http://schemas.openxmlformats.org/officeDocument/2006/relationships/hyperlink" Target="https://www.ncbex.org/score-services" TargetMode="External"/><Relationship Id="rId21" Type="http://schemas.openxmlformats.org/officeDocument/2006/relationships/hyperlink" Target="https://www.ncbex.org/jurisdictions" TargetMode="External"/><Relationship Id="rId34" Type="http://schemas.openxmlformats.org/officeDocument/2006/relationships/hyperlink" Target="https://thebarexaminer.ncbex.org/article/uniform-bar-examination/six-things-applicants-knew-sum24/" TargetMode="External"/><Relationship Id="rId42" Type="http://schemas.openxmlformats.org/officeDocument/2006/relationships/hyperlink" Target="https://thebarexaminer.ncbex.org/article/spring-2024/the-testing-column-spring24" TargetMode="External"/><Relationship Id="rId47" Type="http://schemas.openxmlformats.org/officeDocument/2006/relationships/hyperlink" Target="https://www.ncbex.org/exams/mpre/test-accommodations" TargetMode="External"/><Relationship Id="rId50" Type="http://schemas.openxmlformats.org/officeDocument/2006/relationships/hyperlink" Target="https://thebarexaminer.ncbex.org/article/bar-admissions/faqs-ncbe-account-access" TargetMode="External"/><Relationship Id="rId55" Type="http://schemas.openxmlformats.org/officeDocument/2006/relationships/header" Target="header2.xml"/><Relationship Id="rId7" Type="http://schemas.openxmlformats.org/officeDocument/2006/relationships/hyperlink" Target="https://www.ncbex.org/exams/ube" TargetMode="External"/><Relationship Id="rId2" Type="http://schemas.openxmlformats.org/officeDocument/2006/relationships/styles" Target="styles.xml"/><Relationship Id="rId16" Type="http://schemas.openxmlformats.org/officeDocument/2006/relationships/hyperlink" Target="https://www.ncbex.org/" TargetMode="External"/><Relationship Id="rId29" Type="http://schemas.openxmlformats.org/officeDocument/2006/relationships/hyperlink" Target="https://www.ncbex.org/study-aids" TargetMode="External"/><Relationship Id="rId11" Type="http://schemas.microsoft.com/office/2011/relationships/commentsExtended" Target="commentsExtended.xml"/><Relationship Id="rId24" Type="http://schemas.openxmlformats.org/officeDocument/2006/relationships/hyperlink" Target="https://www.ncbex.org/exams/ube" TargetMode="External"/><Relationship Id="rId32" Type="http://schemas.openxmlformats.org/officeDocument/2006/relationships/hyperlink" Target="https://thebarexaminer.ncbex.org/article/grading-and-scoring/its-all-relative-mee-and-mpt-grading-that-is-2" TargetMode="External"/><Relationship Id="rId37" Type="http://schemas.openxmlformats.org/officeDocument/2006/relationships/hyperlink" Target="https://www.ncbex.org/exams/nextgen/content-scope" TargetMode="External"/><Relationship Id="rId40" Type="http://schemas.openxmlformats.org/officeDocument/2006/relationships/hyperlink" Target="https://www.ncbex.org/study-aids" TargetMode="External"/><Relationship Id="rId45" Type="http://schemas.openxmlformats.org/officeDocument/2006/relationships/hyperlink" Target="https://www.ncbex.org/exams/mpre/about-mpre" TargetMode="External"/><Relationship Id="rId53" Type="http://schemas.openxmlformats.org/officeDocument/2006/relationships/hyperlink" Target="https://thebarexaminer.ncbex.org/?search=faq&amp;authorname=&amp;publishdate=&amp;action=my_posts_request_filter&amp;post_type=article&amp;submit=Search"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ncbex.org/exams/mbe" TargetMode="External"/><Relationship Id="rId4" Type="http://schemas.openxmlformats.org/officeDocument/2006/relationships/webSettings" Target="webSettings.xml"/><Relationship Id="rId9" Type="http://schemas.openxmlformats.org/officeDocument/2006/relationships/hyperlink" Target="https://www.ncbex.org/exams/mpre" TargetMode="External"/><Relationship Id="rId14" Type="http://schemas.openxmlformats.org/officeDocument/2006/relationships/hyperlink" Target="https://www.ncbex.org/jurisdictions" TargetMode="External"/><Relationship Id="rId22" Type="http://schemas.openxmlformats.org/officeDocument/2006/relationships/hyperlink" Target="https://www.ncbex.org/exams/mpre/test-accommodations" TargetMode="External"/><Relationship Id="rId27" Type="http://schemas.openxmlformats.org/officeDocument/2006/relationships/hyperlink" Target="https://www.ncbex.org/exams/mbe" TargetMode="External"/><Relationship Id="rId30" Type="http://schemas.openxmlformats.org/officeDocument/2006/relationships/hyperlink" Target="https://thebarexaminer.ncbex.org/article/test-development/how-are-questions-written-for-ncbes-exams-part-one" TargetMode="External"/><Relationship Id="rId35" Type="http://schemas.openxmlformats.org/officeDocument/2006/relationships/hyperlink" Target="https://thebarexaminer.ncbex.org/article/uniform-bar-examination/testing-knowledge-of-local-law-what-are-ube-jurisdictions-doing/" TargetMode="External"/><Relationship Id="rId43" Type="http://schemas.openxmlformats.org/officeDocument/2006/relationships/hyperlink" Target="https://thebarexaminer.ncbex.org/article/nextgen-bar-exam/faqs-about-family-law-nextgen-exam/" TargetMode="External"/><Relationship Id="rId48" Type="http://schemas.openxmlformats.org/officeDocument/2006/relationships/hyperlink" Target="https://thebarexaminer.ncbex.org/article/bar-admissions/12-things-applicant-knew-about-bar-admissions-process" TargetMode="External"/><Relationship Id="rId56" Type="http://schemas.openxmlformats.org/officeDocument/2006/relationships/fontTable" Target="fontTable.xml"/><Relationship Id="rId8" Type="http://schemas.openxmlformats.org/officeDocument/2006/relationships/hyperlink" Target="https://www.ncbex.org/exams/nextgen" TargetMode="External"/><Relationship Id="rId51" Type="http://schemas.openxmlformats.org/officeDocument/2006/relationships/hyperlink" Target="https://thebarexaminer.ncbex.org/article/bar-admissions/faqs-about-bar-admissions-spring24" TargetMode="External"/><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s://www.ncbex.org/exams/mee" TargetMode="External"/><Relationship Id="rId25" Type="http://schemas.openxmlformats.org/officeDocument/2006/relationships/hyperlink" Target="https://www.ncbex.org/exams/mee" TargetMode="External"/><Relationship Id="rId33" Type="http://schemas.openxmlformats.org/officeDocument/2006/relationships/hyperlink" Target="https://thebarexaminer.ncbex.org/article/uniform-bar-examination/faqs-about-bar-admissions/" TargetMode="External"/><Relationship Id="rId38" Type="http://schemas.openxmlformats.org/officeDocument/2006/relationships/hyperlink" Target="https://www.ncbex.org/exams/nextgen/sample-questions" TargetMode="External"/><Relationship Id="rId46" Type="http://schemas.openxmlformats.org/officeDocument/2006/relationships/hyperlink" Target="https://www.ncbex.org/exams/mpre/registering-mpre" TargetMode="External"/><Relationship Id="rId20" Type="http://schemas.openxmlformats.org/officeDocument/2006/relationships/hyperlink" Target="https://www.ncbex.org/exams/mpre" TargetMode="External"/><Relationship Id="rId41" Type="http://schemas.openxmlformats.org/officeDocument/2006/relationships/hyperlink" Target="https://nextgenbarexam.ncbex.org/"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bex.org/exams/nextgen" TargetMode="External"/><Relationship Id="rId23" Type="http://schemas.openxmlformats.org/officeDocument/2006/relationships/hyperlink" Target="https://www.ncbex.org/jurisdictions" TargetMode="External"/><Relationship Id="rId28" Type="http://schemas.openxmlformats.org/officeDocument/2006/relationships/hyperlink" Target="https://www.ncbex.org/score-services/ube-score-services" TargetMode="External"/><Relationship Id="rId36" Type="http://schemas.openxmlformats.org/officeDocument/2006/relationships/hyperlink" Target="https://www.ncbex.org/exams/nextgen" TargetMode="External"/><Relationship Id="rId49" Type="http://schemas.openxmlformats.org/officeDocument/2006/relationships/hyperlink" Target="https://thebarexaminer.ncbex.org/article/bar-admissions/bar-admissions-faqs-investigations-fall23" TargetMode="External"/><Relationship Id="rId57" Type="http://schemas.microsoft.com/office/2011/relationships/people" Target="people.xml"/><Relationship Id="rId10" Type="http://schemas.openxmlformats.org/officeDocument/2006/relationships/comments" Target="comments.xml"/><Relationship Id="rId31" Type="http://schemas.openxmlformats.org/officeDocument/2006/relationships/hyperlink" Target="https://thebarexaminer.ncbex.org/article/test-development/how-are-questions-written-for-ncbes-exams-part-two" TargetMode="External"/><Relationship Id="rId44" Type="http://schemas.openxmlformats.org/officeDocument/2006/relationships/hyperlink" Target="https://thebarexaminer.ncbex.org/topics/nextgen-bar-exam/" TargetMode="External"/><Relationship Id="rId52" Type="http://schemas.openxmlformats.org/officeDocument/2006/relationships/hyperlink" Target="https://thebarexaminer.ncbex.org/article/equating-and-scaling/the-testing-column-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14127</TotalTime>
  <Pages>4</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Capogna</dc:creator>
  <cp:keywords/>
  <dc:description/>
  <cp:lastModifiedBy>Sophie Martin</cp:lastModifiedBy>
  <cp:revision>17</cp:revision>
  <dcterms:created xsi:type="dcterms:W3CDTF">2025-08-21T21:11:00Z</dcterms:created>
  <dcterms:modified xsi:type="dcterms:W3CDTF">2025-10-17T01:20:00Z</dcterms:modified>
</cp:coreProperties>
</file>